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12" w:rsidRPr="002D1512" w:rsidRDefault="002D1512" w:rsidP="002D1512">
      <w:pPr>
        <w:jc w:val="center"/>
        <w:rPr>
          <w:rFonts w:eastAsia="Calibri"/>
          <w:sz w:val="19"/>
          <w:szCs w:val="20"/>
        </w:rPr>
      </w:pPr>
    </w:p>
    <w:p w:rsidR="0083650E" w:rsidRDefault="0083650E" w:rsidP="0083650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ІНФОРМАЦІЯ </w:t>
      </w:r>
    </w:p>
    <w:p w:rsidR="0083650E" w:rsidRDefault="0083650E" w:rsidP="00836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виконання бюджету </w:t>
      </w:r>
      <w:proofErr w:type="spellStart"/>
      <w:r>
        <w:rPr>
          <w:b/>
          <w:sz w:val="28"/>
          <w:szCs w:val="28"/>
        </w:rPr>
        <w:t>Теофіпольської</w:t>
      </w:r>
      <w:proofErr w:type="spellEnd"/>
      <w:r>
        <w:rPr>
          <w:b/>
          <w:sz w:val="28"/>
          <w:szCs w:val="28"/>
        </w:rPr>
        <w:t xml:space="preserve">  селищної територіальної громади </w:t>
      </w:r>
    </w:p>
    <w:p w:rsidR="00492113" w:rsidRPr="008E4C27" w:rsidRDefault="0083650E" w:rsidP="0049211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 січень –</w:t>
      </w:r>
      <w:r w:rsidR="00E83F4C" w:rsidRPr="008E4C27">
        <w:rPr>
          <w:b/>
          <w:sz w:val="28"/>
          <w:szCs w:val="28"/>
        </w:rPr>
        <w:t xml:space="preserve"> </w:t>
      </w:r>
      <w:r w:rsidR="00412849">
        <w:rPr>
          <w:b/>
          <w:sz w:val="28"/>
          <w:szCs w:val="28"/>
        </w:rPr>
        <w:t>гру</w:t>
      </w:r>
      <w:r w:rsidR="009D52F6">
        <w:rPr>
          <w:b/>
          <w:sz w:val="28"/>
          <w:szCs w:val="28"/>
        </w:rPr>
        <w:t>д</w:t>
      </w:r>
      <w:r w:rsidR="00412849">
        <w:rPr>
          <w:b/>
          <w:sz w:val="28"/>
          <w:szCs w:val="28"/>
        </w:rPr>
        <w:t>ень</w:t>
      </w:r>
      <w:r w:rsidR="00076A89" w:rsidRPr="008E4C27">
        <w:rPr>
          <w:b/>
          <w:sz w:val="28"/>
          <w:szCs w:val="28"/>
        </w:rPr>
        <w:t xml:space="preserve"> </w:t>
      </w:r>
      <w:r w:rsidR="00F87A18" w:rsidRPr="008E4C27">
        <w:rPr>
          <w:b/>
          <w:sz w:val="28"/>
          <w:szCs w:val="28"/>
        </w:rPr>
        <w:t xml:space="preserve"> </w:t>
      </w:r>
      <w:r w:rsidR="00FB7218" w:rsidRPr="008E4C27">
        <w:rPr>
          <w:b/>
          <w:sz w:val="28"/>
          <w:szCs w:val="28"/>
        </w:rPr>
        <w:t>20</w:t>
      </w:r>
      <w:r w:rsidR="00685C78" w:rsidRPr="008E4C27">
        <w:rPr>
          <w:b/>
          <w:sz w:val="28"/>
          <w:szCs w:val="28"/>
        </w:rPr>
        <w:t>2</w:t>
      </w:r>
      <w:r w:rsidR="0089329E" w:rsidRPr="008E4C27">
        <w:rPr>
          <w:b/>
          <w:sz w:val="28"/>
          <w:szCs w:val="28"/>
        </w:rPr>
        <w:t>1</w:t>
      </w:r>
      <w:r w:rsidR="00FB7218" w:rsidRPr="008E4C27">
        <w:rPr>
          <w:b/>
          <w:sz w:val="28"/>
          <w:szCs w:val="28"/>
        </w:rPr>
        <w:t xml:space="preserve"> р</w:t>
      </w:r>
      <w:r w:rsidR="00F87A18" w:rsidRPr="008E4C27">
        <w:rPr>
          <w:b/>
          <w:sz w:val="28"/>
          <w:szCs w:val="28"/>
        </w:rPr>
        <w:t>оку</w:t>
      </w:r>
    </w:p>
    <w:p w:rsidR="00AD11D9" w:rsidRPr="008E4C27" w:rsidRDefault="00AD11D9" w:rsidP="00492113">
      <w:pPr>
        <w:jc w:val="center"/>
        <w:rPr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697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Станом на </w:t>
      </w:r>
      <w:r w:rsidR="00094DEF">
        <w:rPr>
          <w:color w:val="000000"/>
          <w:sz w:val="28"/>
          <w:szCs w:val="28"/>
        </w:rPr>
        <w:t xml:space="preserve">01.01.2022 </w:t>
      </w:r>
      <w:r w:rsidRPr="00FB1177">
        <w:rPr>
          <w:color w:val="000000"/>
          <w:sz w:val="28"/>
          <w:szCs w:val="28"/>
        </w:rPr>
        <w:t xml:space="preserve">року до загального та спеціального фондів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022F83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Pr="00FB1177">
        <w:rPr>
          <w:color w:val="000000"/>
          <w:sz w:val="28"/>
          <w:szCs w:val="28"/>
        </w:rPr>
        <w:t xml:space="preserve"> за рахунок усіх джерел надійшло</w:t>
      </w:r>
      <w:r w:rsidR="00913438">
        <w:rPr>
          <w:color w:val="000000"/>
          <w:sz w:val="28"/>
          <w:szCs w:val="28"/>
        </w:rPr>
        <w:t xml:space="preserve">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094DEF">
        <w:rPr>
          <w:color w:val="000000"/>
          <w:sz w:val="28"/>
          <w:szCs w:val="28"/>
          <w:lang w:val="ru-RU"/>
        </w:rPr>
        <w:t>274 549,5</w:t>
      </w:r>
      <w:r w:rsidR="0036217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="000F7FC0" w:rsidRPr="00FB1177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 xml:space="preserve"> доходів, з них податків, зборів (без врахува</w:t>
      </w:r>
      <w:r w:rsidR="007030CB" w:rsidRPr="00FB1177">
        <w:rPr>
          <w:color w:val="000000"/>
          <w:sz w:val="28"/>
          <w:szCs w:val="28"/>
        </w:rPr>
        <w:t xml:space="preserve">ння міжбюджетних трансфертів та </w:t>
      </w:r>
      <w:r w:rsidRPr="00FB1177">
        <w:rPr>
          <w:color w:val="000000"/>
          <w:sz w:val="28"/>
          <w:szCs w:val="28"/>
        </w:rPr>
        <w:t xml:space="preserve">власних надходжень бюджетних установ)  </w:t>
      </w:r>
      <w:r w:rsidR="00094DEF">
        <w:rPr>
          <w:color w:val="000000"/>
          <w:sz w:val="28"/>
          <w:szCs w:val="28"/>
          <w:lang w:val="ru-RU"/>
        </w:rPr>
        <w:t>132 202,2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8032A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</w:rPr>
      </w:pPr>
      <w:r w:rsidRPr="00FB1177">
        <w:rPr>
          <w:color w:val="000000"/>
          <w:sz w:val="28"/>
          <w:szCs w:val="28"/>
        </w:rPr>
        <w:t xml:space="preserve">Темп росту власних доходів  до відповідного періоду минулого року </w:t>
      </w:r>
      <w:r w:rsidR="0096620A">
        <w:rPr>
          <w:color w:val="000000"/>
          <w:sz w:val="28"/>
          <w:szCs w:val="28"/>
          <w:lang w:val="ru-RU"/>
        </w:rPr>
        <w:t xml:space="preserve">становить </w:t>
      </w:r>
      <w:r w:rsidR="00A60AD9">
        <w:rPr>
          <w:color w:val="000000"/>
          <w:sz w:val="28"/>
          <w:szCs w:val="28"/>
        </w:rPr>
        <w:t>117,7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>% (+</w:t>
      </w:r>
      <w:r w:rsidR="00DC5631" w:rsidRPr="00FB1177">
        <w:rPr>
          <w:color w:val="000000"/>
          <w:sz w:val="28"/>
          <w:szCs w:val="28"/>
        </w:rPr>
        <w:t xml:space="preserve"> </w:t>
      </w:r>
      <w:r w:rsidR="00A60AD9">
        <w:rPr>
          <w:color w:val="000000"/>
          <w:sz w:val="28"/>
          <w:szCs w:val="28"/>
          <w:lang w:val="ru-RU"/>
        </w:rPr>
        <w:t>19 885,2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).</w:t>
      </w:r>
      <w:r w:rsidRPr="00FB1177">
        <w:rPr>
          <w:color w:val="000000"/>
        </w:rPr>
        <w:t xml:space="preserve">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До 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447911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="00447911">
        <w:rPr>
          <w:color w:val="000000"/>
          <w:sz w:val="28"/>
          <w:szCs w:val="28"/>
        </w:rPr>
        <w:t xml:space="preserve"> </w:t>
      </w:r>
      <w:r w:rsidR="006700AA">
        <w:rPr>
          <w:color w:val="000000"/>
          <w:sz w:val="28"/>
          <w:szCs w:val="28"/>
        </w:rPr>
        <w:t xml:space="preserve">у </w:t>
      </w:r>
      <w:r w:rsidR="00E5247A">
        <w:rPr>
          <w:color w:val="000000"/>
          <w:sz w:val="28"/>
          <w:szCs w:val="28"/>
        </w:rPr>
        <w:t>січні-</w:t>
      </w:r>
      <w:r w:rsidR="00A60AD9">
        <w:rPr>
          <w:color w:val="000000"/>
          <w:sz w:val="28"/>
          <w:szCs w:val="28"/>
        </w:rPr>
        <w:t>грудні</w:t>
      </w:r>
      <w:r w:rsidR="00362178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>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за рахунок усіх джерел доходів надійшло</w:t>
      </w:r>
      <w:r w:rsidR="008B1E3A" w:rsidRPr="008B1E3A">
        <w:rPr>
          <w:color w:val="000000"/>
          <w:sz w:val="28"/>
          <w:szCs w:val="28"/>
          <w:lang w:val="ru-RU"/>
        </w:rPr>
        <w:t xml:space="preserve">         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A60AD9">
        <w:rPr>
          <w:color w:val="000000"/>
          <w:sz w:val="28"/>
          <w:szCs w:val="28"/>
          <w:lang w:val="ru-RU"/>
        </w:rPr>
        <w:t>264 415,8</w:t>
      </w:r>
      <w:r w:rsidR="000D45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11D9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Рівень виконання до</w:t>
      </w:r>
      <w:r w:rsidR="008627D5">
        <w:rPr>
          <w:color w:val="000000"/>
          <w:sz w:val="28"/>
          <w:szCs w:val="28"/>
        </w:rPr>
        <w:t xml:space="preserve">ходів </w:t>
      </w:r>
      <w:r w:rsidR="00022F83" w:rsidRPr="00FB1177">
        <w:rPr>
          <w:color w:val="000000"/>
          <w:sz w:val="28"/>
          <w:szCs w:val="28"/>
        </w:rPr>
        <w:t xml:space="preserve">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r w:rsidR="00447911" w:rsidRPr="00FB1177">
        <w:rPr>
          <w:color w:val="000000"/>
          <w:sz w:val="28"/>
          <w:szCs w:val="28"/>
        </w:rPr>
        <w:t>селищн</w:t>
      </w:r>
      <w:r w:rsidR="00447911" w:rsidRPr="00447911">
        <w:rPr>
          <w:color w:val="000000"/>
          <w:sz w:val="28"/>
          <w:szCs w:val="28"/>
        </w:rPr>
        <w:t>ої територіальної громади</w:t>
      </w:r>
      <w:r w:rsidR="00447911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>(без враху</w:t>
      </w:r>
      <w:r w:rsidR="00447911">
        <w:rPr>
          <w:color w:val="000000"/>
          <w:sz w:val="28"/>
          <w:szCs w:val="28"/>
        </w:rPr>
        <w:t xml:space="preserve">вання міжбюджетних трансфертів) </w:t>
      </w:r>
      <w:r w:rsidRPr="00FB1177">
        <w:rPr>
          <w:color w:val="000000"/>
          <w:sz w:val="28"/>
          <w:szCs w:val="28"/>
        </w:rPr>
        <w:t>до затверджених показників</w:t>
      </w:r>
      <w:r w:rsidR="00DE6F6C" w:rsidRPr="00FB1177">
        <w:rPr>
          <w:color w:val="000000"/>
          <w:sz w:val="28"/>
          <w:szCs w:val="28"/>
        </w:rPr>
        <w:t xml:space="preserve"> </w:t>
      </w:r>
      <w:r w:rsidR="00447911">
        <w:rPr>
          <w:color w:val="000000"/>
          <w:sz w:val="28"/>
          <w:szCs w:val="28"/>
        </w:rPr>
        <w:t xml:space="preserve">на відповідний період </w:t>
      </w:r>
      <w:r w:rsidR="00DE6F6C" w:rsidRPr="00FB1177">
        <w:rPr>
          <w:color w:val="000000"/>
          <w:sz w:val="28"/>
          <w:szCs w:val="28"/>
        </w:rPr>
        <w:t xml:space="preserve">складає </w:t>
      </w:r>
      <w:r w:rsidR="00A60AD9">
        <w:rPr>
          <w:color w:val="000000"/>
          <w:sz w:val="28"/>
          <w:szCs w:val="28"/>
        </w:rPr>
        <w:t>131 668,0</w:t>
      </w:r>
      <w:r w:rsidR="00DE6F6C" w:rsidRPr="00FB1177">
        <w:rPr>
          <w:color w:val="000000"/>
          <w:sz w:val="28"/>
          <w:szCs w:val="28"/>
        </w:rPr>
        <w:t xml:space="preserve"> </w:t>
      </w:r>
      <w:proofErr w:type="spellStart"/>
      <w:r w:rsidR="00DE6F6C"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,</w:t>
      </w:r>
      <w:r w:rsidR="00DE6F6C" w:rsidRPr="00FB1177">
        <w:rPr>
          <w:color w:val="000000"/>
          <w:sz w:val="28"/>
          <w:szCs w:val="28"/>
        </w:rPr>
        <w:t xml:space="preserve"> </w:t>
      </w:r>
      <w:r w:rsidR="00DC5631" w:rsidRPr="00FB1177">
        <w:rPr>
          <w:color w:val="000000"/>
          <w:sz w:val="28"/>
          <w:szCs w:val="28"/>
        </w:rPr>
        <w:t xml:space="preserve">або </w:t>
      </w:r>
      <w:r w:rsidR="00447911">
        <w:rPr>
          <w:color w:val="000000"/>
          <w:sz w:val="28"/>
          <w:szCs w:val="28"/>
        </w:rPr>
        <w:t xml:space="preserve">                 </w:t>
      </w:r>
      <w:r w:rsidR="00A60AD9">
        <w:rPr>
          <w:color w:val="000000"/>
          <w:sz w:val="28"/>
          <w:szCs w:val="28"/>
        </w:rPr>
        <w:t>102,8</w:t>
      </w:r>
      <w:r w:rsidRPr="00FB1177">
        <w:rPr>
          <w:color w:val="000000"/>
          <w:sz w:val="28"/>
          <w:szCs w:val="28"/>
        </w:rPr>
        <w:t xml:space="preserve"> </w:t>
      </w:r>
      <w:r w:rsidR="000F7FC0" w:rsidRPr="00FB1177">
        <w:rPr>
          <w:color w:val="000000"/>
          <w:sz w:val="28"/>
          <w:szCs w:val="28"/>
        </w:rPr>
        <w:t>%.</w:t>
      </w:r>
    </w:p>
    <w:p w:rsidR="00AD11D9" w:rsidRDefault="00AD11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D11D9" w:rsidRDefault="00AD11D9">
      <w:pPr>
        <w:rPr>
          <w:color w:val="000000"/>
          <w:sz w:val="28"/>
          <w:szCs w:val="28"/>
        </w:rPr>
        <w:sectPr w:rsidR="00AD11D9" w:rsidSect="001B0693">
          <w:footerReference w:type="default" r:id="rId9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AD11D9" w:rsidRDefault="00AD11D9" w:rsidP="00AB1836">
      <w:pPr>
        <w:ind w:left="142"/>
        <w:jc w:val="center"/>
        <w:rPr>
          <w:color w:val="000000"/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57E5A4D3" wp14:editId="1FF12226">
            <wp:extent cx="9820894" cy="6080166"/>
            <wp:effectExtent l="57150" t="57150" r="47625" b="539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11D9" w:rsidRDefault="00AD11D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  <w:sectPr w:rsidR="00AD11D9" w:rsidSect="00945DC8">
          <w:pgSz w:w="16838" w:h="11906" w:orient="landscape"/>
          <w:pgMar w:top="1418" w:right="851" w:bottom="284" w:left="425" w:header="709" w:footer="300" w:gutter="0"/>
          <w:cols w:space="708"/>
          <w:docGrid w:linePitch="360"/>
        </w:sectPr>
      </w:pPr>
    </w:p>
    <w:p w:rsidR="00E61019" w:rsidRPr="002D1795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</w:t>
      </w:r>
      <w:r w:rsidR="006528EE">
        <w:rPr>
          <w:color w:val="000000"/>
          <w:sz w:val="28"/>
          <w:szCs w:val="28"/>
        </w:rPr>
        <w:t>січень-</w:t>
      </w:r>
      <w:r w:rsidR="00907806">
        <w:rPr>
          <w:color w:val="000000"/>
          <w:sz w:val="28"/>
          <w:szCs w:val="28"/>
        </w:rPr>
        <w:t>грудень</w:t>
      </w:r>
      <w:r>
        <w:rPr>
          <w:color w:val="000000"/>
          <w:sz w:val="28"/>
          <w:szCs w:val="28"/>
        </w:rPr>
        <w:t xml:space="preserve"> 2021 року</w:t>
      </w:r>
    </w:p>
    <w:p w:rsidR="009851EE" w:rsidRDefault="00DB4093" w:rsidP="00853AE7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0B7CA13" wp14:editId="25CFEC35">
            <wp:extent cx="6118860" cy="3741420"/>
            <wp:effectExtent l="57150" t="38100" r="53340" b="685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1019" w:rsidRPr="00FB1177" w:rsidRDefault="00E6101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Обсяг податкових надходжень у розрахунку на душу населення становить </w:t>
      </w:r>
      <w:r w:rsidR="00A60AD9">
        <w:rPr>
          <w:color w:val="000000"/>
          <w:sz w:val="28"/>
          <w:szCs w:val="28"/>
          <w:lang w:val="ru-RU"/>
        </w:rPr>
        <w:t>5 284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 xml:space="preserve"> грив</w:t>
      </w:r>
      <w:r w:rsidR="00A60AD9">
        <w:rPr>
          <w:color w:val="000000"/>
          <w:sz w:val="28"/>
          <w:szCs w:val="28"/>
        </w:rPr>
        <w:t>ні</w:t>
      </w:r>
      <w:r w:rsidR="00192CC0" w:rsidRPr="00FB1177">
        <w:rPr>
          <w:color w:val="000000"/>
          <w:sz w:val="28"/>
          <w:szCs w:val="28"/>
        </w:rPr>
        <w:t>.</w:t>
      </w:r>
    </w:p>
    <w:p w:rsidR="00BC3782" w:rsidRPr="000B6AE0" w:rsidRDefault="00BC3782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Надходження податку на доходи фізичних осіб становить </w:t>
      </w:r>
      <w:r w:rsidR="00DE6F6C" w:rsidRPr="00FB1177">
        <w:rPr>
          <w:color w:val="000000"/>
          <w:sz w:val="28"/>
          <w:szCs w:val="26"/>
        </w:rPr>
        <w:t xml:space="preserve">                                </w:t>
      </w:r>
      <w:r w:rsidR="00A317A3">
        <w:rPr>
          <w:color w:val="000000"/>
          <w:sz w:val="28"/>
          <w:szCs w:val="26"/>
          <w:lang w:val="ru-RU"/>
        </w:rPr>
        <w:t>82 103,1</w:t>
      </w:r>
      <w:r w:rsidR="00192CC0"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</w:t>
      </w:r>
      <w:r w:rsidRPr="00FB1177">
        <w:rPr>
          <w:color w:val="000000"/>
          <w:sz w:val="28"/>
          <w:szCs w:val="26"/>
        </w:rPr>
        <w:t>ис.гривень</w:t>
      </w:r>
      <w:proofErr w:type="spellEnd"/>
      <w:r w:rsidRPr="00FB1177">
        <w:rPr>
          <w:color w:val="000000"/>
          <w:sz w:val="28"/>
          <w:szCs w:val="26"/>
        </w:rPr>
        <w:t>. Темп ро</w:t>
      </w:r>
      <w:r w:rsidR="00192CC0" w:rsidRPr="00FB1177">
        <w:rPr>
          <w:color w:val="000000"/>
          <w:sz w:val="28"/>
          <w:szCs w:val="26"/>
        </w:rPr>
        <w:t>сту до відповідного періоду</w:t>
      </w:r>
      <w:r w:rsidR="00913438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2020</w:t>
      </w:r>
      <w:r w:rsidRPr="00FB1177">
        <w:rPr>
          <w:color w:val="000000"/>
          <w:sz w:val="28"/>
          <w:szCs w:val="26"/>
        </w:rPr>
        <w:t xml:space="preserve"> року  становить </w:t>
      </w:r>
      <w:r w:rsidR="00A317A3">
        <w:rPr>
          <w:color w:val="000000"/>
          <w:sz w:val="28"/>
          <w:szCs w:val="26"/>
        </w:rPr>
        <w:t>123,0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="0019339E">
        <w:rPr>
          <w:color w:val="000000"/>
          <w:sz w:val="28"/>
          <w:szCs w:val="26"/>
        </w:rPr>
        <w:t xml:space="preserve">%, або + </w:t>
      </w:r>
      <w:r w:rsidR="00A317A3">
        <w:rPr>
          <w:color w:val="000000"/>
          <w:sz w:val="28"/>
          <w:szCs w:val="26"/>
        </w:rPr>
        <w:t>15 335,0</w:t>
      </w:r>
      <w:r w:rsidR="000B6AE0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="00EA733B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(2020 р. – </w:t>
      </w:r>
      <w:r w:rsidR="00A317A3">
        <w:rPr>
          <w:color w:val="000000"/>
          <w:sz w:val="28"/>
          <w:szCs w:val="26"/>
        </w:rPr>
        <w:t>66 768,2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</w:t>
      </w:r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Причиною збільшення надходжень до відповідного періоду минулого року є зростання рівня мінімальної заробітної плати з  </w:t>
      </w:r>
      <w:r w:rsidR="00192CC0" w:rsidRPr="00FB1177">
        <w:rPr>
          <w:color w:val="000000"/>
          <w:sz w:val="28"/>
          <w:szCs w:val="26"/>
        </w:rPr>
        <w:t>5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 до 6</w:t>
      </w:r>
      <w:r w:rsidR="007D7DB2" w:rsidRPr="00FB1177">
        <w:rPr>
          <w:color w:val="000000"/>
          <w:sz w:val="28"/>
          <w:szCs w:val="26"/>
        </w:rPr>
        <w:t xml:space="preserve"> </w:t>
      </w:r>
      <w:r w:rsidR="00A317A3">
        <w:rPr>
          <w:color w:val="000000"/>
          <w:sz w:val="28"/>
          <w:szCs w:val="26"/>
        </w:rPr>
        <w:t>5</w:t>
      </w:r>
      <w:r w:rsidR="00192CC0" w:rsidRPr="00FB1177">
        <w:rPr>
          <w:color w:val="000000"/>
          <w:sz w:val="28"/>
          <w:szCs w:val="26"/>
        </w:rPr>
        <w:t>00</w:t>
      </w:r>
      <w:r w:rsidRPr="00FB1177">
        <w:rPr>
          <w:color w:val="000000"/>
          <w:sz w:val="28"/>
          <w:szCs w:val="26"/>
        </w:rPr>
        <w:t xml:space="preserve"> гривень</w:t>
      </w:r>
      <w:r w:rsidR="000B7FCA">
        <w:rPr>
          <w:color w:val="000000"/>
          <w:sz w:val="28"/>
          <w:szCs w:val="26"/>
        </w:rPr>
        <w:t>,</w:t>
      </w:r>
      <w:r w:rsidR="000B7FCA" w:rsidRPr="000B7FCA">
        <w:rPr>
          <w:color w:val="000000"/>
          <w:sz w:val="28"/>
          <w:szCs w:val="26"/>
        </w:rPr>
        <w:t xml:space="preserve"> </w:t>
      </w:r>
      <w:r w:rsidR="000B7FCA">
        <w:rPr>
          <w:color w:val="000000"/>
          <w:sz w:val="28"/>
          <w:szCs w:val="26"/>
        </w:rPr>
        <w:t xml:space="preserve"> здійснення виплати розрахункових звільненим працівникам</w:t>
      </w:r>
      <w:r w:rsidR="00EA733B">
        <w:rPr>
          <w:color w:val="000000"/>
          <w:sz w:val="28"/>
          <w:szCs w:val="26"/>
        </w:rPr>
        <w:t xml:space="preserve"> та </w:t>
      </w:r>
      <w:r w:rsidR="000B7FCA">
        <w:rPr>
          <w:color w:val="000000"/>
          <w:sz w:val="28"/>
          <w:szCs w:val="26"/>
        </w:rPr>
        <w:t>значного збільшення фонду оплати праці в закладах охорони здоров</w:t>
      </w:r>
      <w:r w:rsidR="000B7FCA" w:rsidRPr="000B7FCA">
        <w:rPr>
          <w:color w:val="000000"/>
          <w:sz w:val="28"/>
          <w:szCs w:val="26"/>
        </w:rPr>
        <w:t>’я</w:t>
      </w:r>
      <w:r w:rsidRPr="00FB1177">
        <w:rPr>
          <w:color w:val="000000"/>
          <w:sz w:val="28"/>
          <w:szCs w:val="26"/>
        </w:rPr>
        <w:t xml:space="preserve">.  Планові </w:t>
      </w:r>
      <w:r w:rsidR="00072195">
        <w:rPr>
          <w:color w:val="000000"/>
          <w:sz w:val="28"/>
          <w:szCs w:val="26"/>
        </w:rPr>
        <w:t xml:space="preserve">призначення виконано  на </w:t>
      </w:r>
      <w:r w:rsidR="00A317A3">
        <w:rPr>
          <w:color w:val="000000"/>
          <w:sz w:val="28"/>
          <w:szCs w:val="26"/>
        </w:rPr>
        <w:t>103,2</w:t>
      </w:r>
      <w:r w:rsidRPr="00FB1177">
        <w:rPr>
          <w:color w:val="000000"/>
          <w:sz w:val="28"/>
          <w:szCs w:val="26"/>
        </w:rPr>
        <w:t xml:space="preserve"> %</w:t>
      </w:r>
      <w:r w:rsidR="006700AA">
        <w:rPr>
          <w:color w:val="000000"/>
          <w:sz w:val="28"/>
          <w:szCs w:val="26"/>
        </w:rPr>
        <w:t xml:space="preserve"> </w:t>
      </w:r>
      <w:r w:rsidR="00DE6F6C" w:rsidRPr="00FB1177">
        <w:rPr>
          <w:color w:val="000000"/>
          <w:sz w:val="28"/>
          <w:szCs w:val="26"/>
        </w:rPr>
        <w:t>(</w:t>
      </w:r>
      <w:r w:rsidR="007D4510">
        <w:rPr>
          <w:color w:val="000000"/>
          <w:sz w:val="28"/>
          <w:szCs w:val="26"/>
        </w:rPr>
        <w:t xml:space="preserve">+ </w:t>
      </w:r>
      <w:r w:rsidR="00A317A3">
        <w:rPr>
          <w:color w:val="000000"/>
          <w:sz w:val="28"/>
          <w:szCs w:val="26"/>
        </w:rPr>
        <w:t>2 575</w:t>
      </w:r>
      <w:r w:rsidR="004C27A9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тис.грн</w:t>
      </w:r>
      <w:proofErr w:type="spellEnd"/>
      <w:r w:rsidR="00DE6F6C" w:rsidRPr="00FB1177">
        <w:rPr>
          <w:color w:val="000000"/>
          <w:sz w:val="28"/>
          <w:szCs w:val="26"/>
        </w:rPr>
        <w:t>)</w:t>
      </w:r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</w:t>
      </w:r>
      <w:r w:rsidR="00DE6F6C" w:rsidRPr="00FB1177">
        <w:rPr>
          <w:color w:val="000000"/>
          <w:sz w:val="28"/>
          <w:szCs w:val="26"/>
        </w:rPr>
        <w:t>и</w:t>
      </w:r>
      <w:r w:rsidRPr="00FB1177">
        <w:rPr>
          <w:color w:val="000000"/>
          <w:sz w:val="28"/>
          <w:szCs w:val="26"/>
        </w:rPr>
        <w:t xml:space="preserve">тома вага даного податку у </w:t>
      </w:r>
      <w:r w:rsidR="00EA733B">
        <w:rPr>
          <w:color w:val="000000"/>
          <w:sz w:val="28"/>
          <w:szCs w:val="26"/>
        </w:rPr>
        <w:t>доходах загального фонду</w:t>
      </w:r>
      <w:r w:rsidR="003B664A">
        <w:rPr>
          <w:color w:val="000000"/>
          <w:sz w:val="28"/>
          <w:szCs w:val="26"/>
        </w:rPr>
        <w:t xml:space="preserve"> становить 62,4</w:t>
      </w:r>
      <w:r w:rsidRPr="00FB1177">
        <w:rPr>
          <w:color w:val="000000"/>
          <w:sz w:val="28"/>
          <w:szCs w:val="26"/>
        </w:rPr>
        <w:t xml:space="preserve"> %.</w:t>
      </w:r>
    </w:p>
    <w:p w:rsidR="00BC3782" w:rsidRPr="000B6AE0" w:rsidRDefault="00E61019" w:rsidP="00E61019">
      <w:pPr>
        <w:jc w:val="both"/>
        <w:rPr>
          <w:color w:val="000000"/>
          <w:sz w:val="28"/>
          <w:szCs w:val="26"/>
          <w:lang w:val="ru-RU"/>
        </w:rPr>
      </w:pPr>
      <w:r w:rsidRPr="00FB1177">
        <w:rPr>
          <w:color w:val="000000"/>
          <w:sz w:val="28"/>
          <w:szCs w:val="26"/>
        </w:rPr>
        <w:t xml:space="preserve">        </w:t>
      </w:r>
    </w:p>
    <w:p w:rsidR="00E61019" w:rsidRPr="000B7FCA" w:rsidRDefault="00EF3CB5" w:rsidP="00BC3782">
      <w:pPr>
        <w:ind w:firstLine="708"/>
        <w:jc w:val="both"/>
        <w:rPr>
          <w:sz w:val="28"/>
          <w:szCs w:val="26"/>
        </w:rPr>
      </w:pPr>
      <w:r w:rsidRPr="00FB1177">
        <w:rPr>
          <w:color w:val="000000"/>
          <w:sz w:val="28"/>
          <w:szCs w:val="26"/>
        </w:rPr>
        <w:t>Внутрішніх податків  на товари</w:t>
      </w:r>
      <w:r w:rsidR="00EA733B">
        <w:rPr>
          <w:color w:val="000000"/>
          <w:sz w:val="28"/>
          <w:szCs w:val="26"/>
        </w:rPr>
        <w:t xml:space="preserve"> та послуги  (</w:t>
      </w:r>
      <w:r w:rsidRPr="00FB1177">
        <w:rPr>
          <w:color w:val="000000"/>
          <w:sz w:val="28"/>
          <w:szCs w:val="26"/>
        </w:rPr>
        <w:t>акцизи) надійшло</w:t>
      </w:r>
      <w:r w:rsidR="00E61019" w:rsidRPr="00FB1177">
        <w:rPr>
          <w:color w:val="000000"/>
          <w:sz w:val="28"/>
          <w:szCs w:val="26"/>
        </w:rPr>
        <w:t xml:space="preserve"> в сумі </w:t>
      </w:r>
      <w:r w:rsidR="00EA733B">
        <w:rPr>
          <w:color w:val="000000"/>
          <w:sz w:val="28"/>
          <w:szCs w:val="26"/>
        </w:rPr>
        <w:t xml:space="preserve">                </w:t>
      </w:r>
      <w:r w:rsidR="003B664A">
        <w:rPr>
          <w:color w:val="000000"/>
          <w:sz w:val="28"/>
          <w:szCs w:val="26"/>
        </w:rPr>
        <w:t>3 831,6</w:t>
      </w:r>
      <w:r w:rsidR="00F53858">
        <w:rPr>
          <w:color w:val="000000"/>
          <w:sz w:val="28"/>
          <w:szCs w:val="26"/>
        </w:rPr>
        <w:t xml:space="preserve"> </w:t>
      </w:r>
      <w:proofErr w:type="spellStart"/>
      <w:r w:rsidR="00E61019" w:rsidRPr="00FB1177">
        <w:rPr>
          <w:color w:val="000000"/>
          <w:sz w:val="28"/>
          <w:szCs w:val="26"/>
        </w:rPr>
        <w:t>тис.грн</w:t>
      </w:r>
      <w:proofErr w:type="spellEnd"/>
      <w:r w:rsidR="00E61019" w:rsidRPr="00FB1177">
        <w:rPr>
          <w:color w:val="000000"/>
          <w:sz w:val="28"/>
          <w:szCs w:val="26"/>
        </w:rPr>
        <w:t xml:space="preserve">, що становить </w:t>
      </w:r>
      <w:r w:rsidR="003B664A">
        <w:rPr>
          <w:color w:val="000000"/>
          <w:sz w:val="28"/>
          <w:szCs w:val="26"/>
          <w:lang w:val="ru-RU"/>
        </w:rPr>
        <w:t>101,6</w:t>
      </w:r>
      <w:r w:rsidR="00E61019" w:rsidRPr="00FB1177">
        <w:rPr>
          <w:color w:val="000000"/>
          <w:sz w:val="28"/>
          <w:szCs w:val="26"/>
          <w:lang w:val="ru-RU"/>
        </w:rPr>
        <w:t xml:space="preserve"> </w:t>
      </w:r>
      <w:r w:rsidR="00E61019" w:rsidRPr="00FB1177">
        <w:rPr>
          <w:color w:val="000000"/>
          <w:sz w:val="28"/>
          <w:szCs w:val="26"/>
        </w:rPr>
        <w:t>% до відповідного періоду минулого року. Планові призначення виконано  на</w:t>
      </w:r>
      <w:r w:rsidR="0075026C">
        <w:rPr>
          <w:color w:val="000000"/>
          <w:sz w:val="28"/>
          <w:szCs w:val="26"/>
        </w:rPr>
        <w:t xml:space="preserve"> </w:t>
      </w:r>
      <w:r w:rsidR="003B664A">
        <w:rPr>
          <w:color w:val="000000"/>
          <w:sz w:val="28"/>
          <w:szCs w:val="26"/>
        </w:rPr>
        <w:t>103,8</w:t>
      </w:r>
      <w:r w:rsidR="00E61019"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="003B664A">
        <w:rPr>
          <w:color w:val="000000"/>
          <w:sz w:val="28"/>
          <w:szCs w:val="26"/>
        </w:rPr>
        <w:t>(140,6</w:t>
      </w:r>
      <w:r w:rsidR="00F0273E">
        <w:rPr>
          <w:color w:val="000000"/>
          <w:sz w:val="28"/>
          <w:szCs w:val="26"/>
        </w:rPr>
        <w:t xml:space="preserve"> </w:t>
      </w:r>
      <w:proofErr w:type="spellStart"/>
      <w:r w:rsidR="00E61019" w:rsidRPr="00FB1177">
        <w:rPr>
          <w:color w:val="000000"/>
          <w:sz w:val="28"/>
          <w:szCs w:val="26"/>
        </w:rPr>
        <w:t>тис.грн</w:t>
      </w:r>
      <w:proofErr w:type="spellEnd"/>
      <w:r w:rsidR="004C27A9">
        <w:rPr>
          <w:color w:val="000000"/>
          <w:sz w:val="28"/>
          <w:szCs w:val="26"/>
        </w:rPr>
        <w:t>).</w:t>
      </w:r>
    </w:p>
    <w:p w:rsidR="00893155" w:rsidRPr="009D52F6" w:rsidRDefault="00893155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Податок на  майно  надійшов в сумі </w:t>
      </w:r>
      <w:r w:rsidR="003B664A">
        <w:rPr>
          <w:color w:val="000000"/>
          <w:sz w:val="28"/>
          <w:szCs w:val="26"/>
          <w:lang w:val="ru-RU"/>
        </w:rPr>
        <w:t>12 747,7</w:t>
      </w:r>
      <w:r w:rsidR="007061C9">
        <w:rPr>
          <w:color w:val="000000"/>
          <w:sz w:val="28"/>
          <w:szCs w:val="26"/>
          <w:lang w:val="ru-RU"/>
        </w:rPr>
        <w:t xml:space="preserve"> </w:t>
      </w:r>
      <w:r w:rsidR="00434B36">
        <w:rPr>
          <w:color w:val="000000"/>
          <w:sz w:val="28"/>
          <w:szCs w:val="26"/>
          <w:lang w:val="ru-RU"/>
        </w:rPr>
        <w:t>тис.</w:t>
      </w:r>
      <w:r w:rsidRPr="00FB1177">
        <w:rPr>
          <w:color w:val="000000"/>
          <w:sz w:val="28"/>
          <w:szCs w:val="26"/>
        </w:rPr>
        <w:t xml:space="preserve">грн, що на </w:t>
      </w:r>
      <w:r w:rsidR="003B664A">
        <w:rPr>
          <w:color w:val="000000"/>
          <w:sz w:val="28"/>
          <w:szCs w:val="26"/>
          <w:lang w:val="ru-RU"/>
        </w:rPr>
        <w:t>119,5</w:t>
      </w:r>
      <w:r w:rsidR="0019339E">
        <w:rPr>
          <w:color w:val="000000"/>
          <w:sz w:val="28"/>
          <w:szCs w:val="26"/>
        </w:rPr>
        <w:t xml:space="preserve"> </w:t>
      </w:r>
      <w:proofErr w:type="spellStart"/>
      <w:r w:rsidR="0019339E">
        <w:rPr>
          <w:color w:val="000000"/>
          <w:sz w:val="28"/>
          <w:szCs w:val="26"/>
        </w:rPr>
        <w:t>тис.грн</w:t>
      </w:r>
      <w:proofErr w:type="spellEnd"/>
      <w:r w:rsidR="0019339E">
        <w:rPr>
          <w:color w:val="000000"/>
          <w:sz w:val="28"/>
          <w:szCs w:val="26"/>
        </w:rPr>
        <w:t xml:space="preserve"> </w:t>
      </w:r>
      <w:r w:rsidR="003B664A">
        <w:rPr>
          <w:color w:val="000000"/>
          <w:sz w:val="28"/>
          <w:szCs w:val="26"/>
        </w:rPr>
        <w:t>біль</w:t>
      </w:r>
      <w:r w:rsidRPr="00FB1177">
        <w:rPr>
          <w:color w:val="000000"/>
          <w:sz w:val="28"/>
          <w:szCs w:val="26"/>
        </w:rPr>
        <w:t xml:space="preserve">ше надходжень відповідного </w:t>
      </w:r>
      <w:r w:rsidR="00582224" w:rsidRPr="00FB1177">
        <w:rPr>
          <w:color w:val="000000"/>
          <w:sz w:val="28"/>
          <w:szCs w:val="26"/>
        </w:rPr>
        <w:t>періоду</w:t>
      </w:r>
      <w:r w:rsidRPr="00FB1177">
        <w:rPr>
          <w:color w:val="000000"/>
          <w:sz w:val="28"/>
          <w:szCs w:val="26"/>
        </w:rPr>
        <w:t xml:space="preserve"> минулого року. </w:t>
      </w:r>
      <w:r w:rsidR="00435EBB" w:rsidRPr="00FB1177">
        <w:rPr>
          <w:color w:val="000000"/>
          <w:sz w:val="28"/>
          <w:szCs w:val="26"/>
        </w:rPr>
        <w:t>Питома вага  податку на майно у загальній сумі дохо</w:t>
      </w:r>
      <w:r w:rsidR="008E7550">
        <w:rPr>
          <w:color w:val="000000"/>
          <w:sz w:val="28"/>
          <w:szCs w:val="26"/>
        </w:rPr>
        <w:t xml:space="preserve">дів загального фонду склала </w:t>
      </w:r>
      <w:r w:rsidR="001A6B3A">
        <w:rPr>
          <w:color w:val="000000"/>
          <w:sz w:val="28"/>
          <w:szCs w:val="26"/>
        </w:rPr>
        <w:t>9,7</w:t>
      </w:r>
      <w:r w:rsidR="002B6974">
        <w:rPr>
          <w:color w:val="000000"/>
          <w:sz w:val="28"/>
          <w:szCs w:val="26"/>
        </w:rPr>
        <w:t xml:space="preserve"> </w:t>
      </w:r>
      <w:r w:rsidR="00435EBB" w:rsidRPr="00FB1177">
        <w:rPr>
          <w:color w:val="000000"/>
          <w:sz w:val="28"/>
          <w:szCs w:val="26"/>
        </w:rPr>
        <w:t xml:space="preserve">%. 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         Подат</w:t>
      </w:r>
      <w:r w:rsidR="006F39B5">
        <w:rPr>
          <w:color w:val="000000"/>
          <w:sz w:val="28"/>
          <w:szCs w:val="26"/>
        </w:rPr>
        <w:t>ок</w:t>
      </w:r>
      <w:r w:rsidRPr="00FB1177">
        <w:rPr>
          <w:color w:val="000000"/>
          <w:sz w:val="28"/>
          <w:szCs w:val="26"/>
        </w:rPr>
        <w:t xml:space="preserve"> на нер</w:t>
      </w:r>
      <w:r w:rsidR="00DE6F6C" w:rsidRPr="00FB1177">
        <w:rPr>
          <w:color w:val="000000"/>
          <w:sz w:val="28"/>
          <w:szCs w:val="26"/>
        </w:rPr>
        <w:t xml:space="preserve">ухоме майно </w:t>
      </w:r>
      <w:r w:rsidR="008E7550">
        <w:rPr>
          <w:color w:val="000000"/>
          <w:sz w:val="28"/>
          <w:szCs w:val="26"/>
        </w:rPr>
        <w:t xml:space="preserve">надійшов в сумі </w:t>
      </w:r>
      <w:r w:rsidR="00DE6F6C" w:rsidRPr="00FB1177">
        <w:rPr>
          <w:color w:val="000000"/>
          <w:sz w:val="28"/>
          <w:szCs w:val="26"/>
        </w:rPr>
        <w:t xml:space="preserve"> </w:t>
      </w:r>
      <w:r w:rsidR="001A6B3A">
        <w:rPr>
          <w:color w:val="000000"/>
          <w:sz w:val="28"/>
          <w:szCs w:val="26"/>
        </w:rPr>
        <w:t>3 059,5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6F6C" w:rsidRPr="00FB1177">
        <w:rPr>
          <w:color w:val="000000"/>
          <w:sz w:val="28"/>
          <w:szCs w:val="26"/>
        </w:rPr>
        <w:t xml:space="preserve"> </w:t>
      </w:r>
      <w:r w:rsidR="005164A4">
        <w:rPr>
          <w:color w:val="000000"/>
          <w:sz w:val="28"/>
          <w:szCs w:val="26"/>
        </w:rPr>
        <w:t>що біль</w:t>
      </w:r>
      <w:r w:rsidRPr="00FB1177">
        <w:rPr>
          <w:color w:val="000000"/>
          <w:sz w:val="28"/>
          <w:szCs w:val="26"/>
        </w:rPr>
        <w:t xml:space="preserve">ше до надходжень минулого року на </w:t>
      </w:r>
      <w:r w:rsidR="001A6B3A">
        <w:rPr>
          <w:color w:val="000000"/>
          <w:sz w:val="28"/>
          <w:szCs w:val="26"/>
        </w:rPr>
        <w:t>33,0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Планові призначення виконано  на </w:t>
      </w:r>
      <w:r w:rsidR="001A6B3A">
        <w:rPr>
          <w:color w:val="000000"/>
          <w:sz w:val="28"/>
          <w:szCs w:val="26"/>
        </w:rPr>
        <w:t>102,0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(</w:t>
      </w:r>
      <w:r w:rsidR="001A6B3A">
        <w:rPr>
          <w:color w:val="000000"/>
          <w:sz w:val="28"/>
          <w:szCs w:val="26"/>
        </w:rPr>
        <w:t>+ 58,8</w:t>
      </w:r>
      <w:r w:rsidR="00F6331B">
        <w:rPr>
          <w:color w:val="000000"/>
          <w:sz w:val="28"/>
          <w:szCs w:val="26"/>
        </w:rPr>
        <w:t xml:space="preserve"> </w:t>
      </w:r>
      <w:proofErr w:type="spellStart"/>
      <w:r w:rsidR="00582224" w:rsidRPr="00FB1177">
        <w:rPr>
          <w:color w:val="000000"/>
          <w:sz w:val="28"/>
          <w:szCs w:val="26"/>
        </w:rPr>
        <w:t>тис</w:t>
      </w:r>
      <w:r w:rsidRPr="00FB1177">
        <w:rPr>
          <w:color w:val="000000"/>
          <w:sz w:val="28"/>
          <w:szCs w:val="26"/>
        </w:rPr>
        <w:t>.грн</w:t>
      </w:r>
      <w:proofErr w:type="spellEnd"/>
      <w:r w:rsidRPr="00FB1177">
        <w:rPr>
          <w:color w:val="000000"/>
          <w:sz w:val="28"/>
          <w:szCs w:val="26"/>
        </w:rPr>
        <w:t>).</w:t>
      </w:r>
      <w:r w:rsidR="008627D5">
        <w:rPr>
          <w:color w:val="000000"/>
          <w:sz w:val="28"/>
          <w:szCs w:val="26"/>
        </w:rPr>
        <w:t xml:space="preserve"> </w:t>
      </w:r>
      <w:r w:rsidR="00E14DF1">
        <w:rPr>
          <w:color w:val="000000"/>
          <w:sz w:val="28"/>
          <w:szCs w:val="26"/>
        </w:rPr>
        <w:t xml:space="preserve">В 2020 році </w:t>
      </w:r>
      <w:proofErr w:type="spellStart"/>
      <w:r w:rsidR="00E14DF1">
        <w:rPr>
          <w:color w:val="000000"/>
          <w:sz w:val="28"/>
          <w:szCs w:val="26"/>
        </w:rPr>
        <w:t>Теофіпольською</w:t>
      </w:r>
      <w:proofErr w:type="spellEnd"/>
      <w:r w:rsidR="00E14DF1">
        <w:rPr>
          <w:color w:val="000000"/>
          <w:sz w:val="28"/>
          <w:szCs w:val="26"/>
        </w:rPr>
        <w:t xml:space="preserve"> селищною радою було прийняте рішення про зменшення с</w:t>
      </w:r>
      <w:r w:rsidR="00DE7542">
        <w:rPr>
          <w:color w:val="000000"/>
          <w:sz w:val="28"/>
          <w:szCs w:val="26"/>
        </w:rPr>
        <w:t xml:space="preserve">тавок податку на нерухоме </w:t>
      </w:r>
      <w:r w:rsidR="00DE7542">
        <w:rPr>
          <w:color w:val="000000"/>
          <w:sz w:val="28"/>
          <w:szCs w:val="26"/>
        </w:rPr>
        <w:lastRenderedPageBreak/>
        <w:t>майно</w:t>
      </w:r>
      <w:r w:rsidR="00E14DF1">
        <w:rPr>
          <w:color w:val="000000"/>
          <w:sz w:val="28"/>
          <w:szCs w:val="26"/>
        </w:rPr>
        <w:t>, що призвело до значного</w:t>
      </w:r>
      <w:r w:rsidR="00C53781">
        <w:rPr>
          <w:color w:val="000000"/>
          <w:sz w:val="28"/>
          <w:szCs w:val="26"/>
        </w:rPr>
        <w:t xml:space="preserve"> скоро</w:t>
      </w:r>
      <w:r w:rsidR="00027EE1">
        <w:rPr>
          <w:color w:val="000000"/>
          <w:sz w:val="28"/>
          <w:szCs w:val="26"/>
        </w:rPr>
        <w:t>чення надходжень по</w:t>
      </w:r>
      <w:r w:rsidR="00E47991" w:rsidRPr="00E47991">
        <w:t xml:space="preserve"> </w:t>
      </w:r>
      <w:r w:rsidR="00027EE1">
        <w:rPr>
          <w:color w:val="000000"/>
          <w:sz w:val="28"/>
          <w:szCs w:val="26"/>
        </w:rPr>
        <w:t>п</w:t>
      </w:r>
      <w:r w:rsidR="00C53781">
        <w:rPr>
          <w:color w:val="000000"/>
          <w:sz w:val="28"/>
          <w:szCs w:val="26"/>
        </w:rPr>
        <w:t>одат</w:t>
      </w:r>
      <w:r w:rsidR="00E47991" w:rsidRPr="00E47991">
        <w:rPr>
          <w:color w:val="000000"/>
          <w:sz w:val="28"/>
          <w:szCs w:val="26"/>
        </w:rPr>
        <w:t>к</w:t>
      </w:r>
      <w:r w:rsidR="00027EE1">
        <w:rPr>
          <w:color w:val="000000"/>
          <w:sz w:val="28"/>
          <w:szCs w:val="26"/>
        </w:rPr>
        <w:t>у</w:t>
      </w:r>
      <w:r w:rsidR="00E47991" w:rsidRPr="00E47991">
        <w:rPr>
          <w:color w:val="000000"/>
          <w:sz w:val="28"/>
          <w:szCs w:val="26"/>
        </w:rPr>
        <w:t xml:space="preserve"> на нерухоме май</w:t>
      </w:r>
      <w:r w:rsidR="00C53781">
        <w:rPr>
          <w:color w:val="000000"/>
          <w:sz w:val="28"/>
          <w:szCs w:val="26"/>
        </w:rPr>
        <w:t>но, відмінного</w:t>
      </w:r>
      <w:r w:rsidR="00E47991" w:rsidRPr="00E47991">
        <w:rPr>
          <w:color w:val="000000"/>
          <w:sz w:val="28"/>
          <w:szCs w:val="26"/>
        </w:rPr>
        <w:t xml:space="preserve"> </w:t>
      </w:r>
      <w:r w:rsidR="00C53781">
        <w:rPr>
          <w:color w:val="000000"/>
          <w:sz w:val="28"/>
          <w:szCs w:val="26"/>
        </w:rPr>
        <w:t>від земельної ділянки, сплаченого</w:t>
      </w:r>
      <w:r w:rsidR="00E47991" w:rsidRPr="00E47991">
        <w:rPr>
          <w:color w:val="000000"/>
          <w:sz w:val="28"/>
          <w:szCs w:val="26"/>
        </w:rPr>
        <w:t xml:space="preserve"> фізичними особами, які є власниками об`єктів нежитлової нерухомості </w:t>
      </w:r>
      <w:r w:rsidR="00B777B7">
        <w:rPr>
          <w:color w:val="000000"/>
          <w:sz w:val="28"/>
          <w:szCs w:val="26"/>
        </w:rPr>
        <w:t>в сумі</w:t>
      </w:r>
      <w:r w:rsidR="001A6B3A">
        <w:rPr>
          <w:color w:val="000000"/>
          <w:sz w:val="28"/>
          <w:szCs w:val="26"/>
        </w:rPr>
        <w:t xml:space="preserve"> 18,9</w:t>
      </w:r>
      <w:r w:rsidR="00B777B7">
        <w:rPr>
          <w:color w:val="000000"/>
          <w:sz w:val="28"/>
          <w:szCs w:val="26"/>
        </w:rPr>
        <w:t xml:space="preserve"> </w:t>
      </w:r>
      <w:proofErr w:type="spellStart"/>
      <w:r w:rsidR="00B777B7">
        <w:rPr>
          <w:color w:val="000000"/>
          <w:sz w:val="28"/>
          <w:szCs w:val="26"/>
        </w:rPr>
        <w:t>тис.грн</w:t>
      </w:r>
      <w:proofErr w:type="spellEnd"/>
      <w:r w:rsidR="00B777B7">
        <w:rPr>
          <w:color w:val="000000"/>
          <w:sz w:val="28"/>
          <w:szCs w:val="26"/>
        </w:rPr>
        <w:t xml:space="preserve"> та податку</w:t>
      </w:r>
      <w:r w:rsidR="00B777B7" w:rsidRPr="00B777B7">
        <w:rPr>
          <w:color w:val="000000"/>
          <w:sz w:val="28"/>
          <w:szCs w:val="26"/>
        </w:rPr>
        <w:t xml:space="preserve"> на нерухоме майно, відмінне від земельної ділянки, сплачений юридичними особами, які є власниками об`єктів нежитлової нерухомості</w:t>
      </w:r>
      <w:r w:rsidR="00B777B7">
        <w:rPr>
          <w:color w:val="000000"/>
          <w:sz w:val="28"/>
          <w:szCs w:val="26"/>
        </w:rPr>
        <w:t xml:space="preserve"> в сумі </w:t>
      </w:r>
      <w:r w:rsidR="001A6B3A">
        <w:rPr>
          <w:color w:val="000000"/>
          <w:sz w:val="28"/>
          <w:szCs w:val="26"/>
        </w:rPr>
        <w:t>222,3</w:t>
      </w:r>
      <w:r w:rsidR="00B777B7">
        <w:rPr>
          <w:color w:val="000000"/>
          <w:sz w:val="28"/>
          <w:szCs w:val="26"/>
        </w:rPr>
        <w:t xml:space="preserve"> </w:t>
      </w:r>
      <w:r w:rsidR="00B777B7" w:rsidRPr="00B777B7">
        <w:rPr>
          <w:color w:val="000000"/>
          <w:sz w:val="28"/>
          <w:szCs w:val="26"/>
        </w:rPr>
        <w:t> </w:t>
      </w:r>
      <w:r w:rsidR="00027EE1">
        <w:rPr>
          <w:color w:val="000000"/>
          <w:sz w:val="28"/>
          <w:szCs w:val="26"/>
        </w:rPr>
        <w:t xml:space="preserve"> </w:t>
      </w:r>
      <w:proofErr w:type="spellStart"/>
      <w:r w:rsidR="00027EE1">
        <w:rPr>
          <w:color w:val="000000"/>
          <w:sz w:val="28"/>
          <w:szCs w:val="26"/>
        </w:rPr>
        <w:t>тис.гривень</w:t>
      </w:r>
      <w:proofErr w:type="spellEnd"/>
      <w:r w:rsidR="00027EE1">
        <w:rPr>
          <w:color w:val="000000"/>
          <w:sz w:val="28"/>
          <w:szCs w:val="26"/>
        </w:rPr>
        <w:t>.</w:t>
      </w:r>
    </w:p>
    <w:p w:rsidR="00BC3782" w:rsidRPr="008627D5" w:rsidRDefault="00BC3782" w:rsidP="00E61019">
      <w:pPr>
        <w:ind w:firstLine="709"/>
        <w:jc w:val="both"/>
        <w:rPr>
          <w:color w:val="000000"/>
          <w:sz w:val="28"/>
          <w:szCs w:val="26"/>
        </w:rPr>
      </w:pPr>
    </w:p>
    <w:p w:rsidR="00CE6B18" w:rsidRDefault="00E61019" w:rsidP="00E61019">
      <w:pPr>
        <w:ind w:firstLine="709"/>
        <w:jc w:val="both"/>
        <w:rPr>
          <w:sz w:val="28"/>
          <w:szCs w:val="26"/>
        </w:rPr>
      </w:pPr>
      <w:r w:rsidRPr="00FB1177">
        <w:rPr>
          <w:color w:val="000000"/>
          <w:sz w:val="28"/>
          <w:szCs w:val="26"/>
        </w:rPr>
        <w:t>Плат</w:t>
      </w:r>
      <w:r w:rsidR="006F39B5">
        <w:rPr>
          <w:color w:val="000000"/>
          <w:sz w:val="28"/>
          <w:szCs w:val="26"/>
        </w:rPr>
        <w:t>а</w:t>
      </w:r>
      <w:r w:rsidRPr="00FB1177">
        <w:rPr>
          <w:color w:val="000000"/>
          <w:sz w:val="28"/>
          <w:szCs w:val="26"/>
        </w:rPr>
        <w:t xml:space="preserve"> за</w:t>
      </w:r>
      <w:r w:rsidR="00582224" w:rsidRPr="00FB1177">
        <w:rPr>
          <w:color w:val="000000"/>
          <w:sz w:val="28"/>
          <w:szCs w:val="26"/>
        </w:rPr>
        <w:t xml:space="preserve"> землю станом на 01 </w:t>
      </w:r>
      <w:r w:rsidR="001A6B3A">
        <w:rPr>
          <w:color w:val="000000"/>
          <w:sz w:val="28"/>
          <w:szCs w:val="26"/>
        </w:rPr>
        <w:t>січ</w:t>
      </w:r>
      <w:r w:rsidR="00BD1444">
        <w:rPr>
          <w:color w:val="000000"/>
          <w:sz w:val="28"/>
          <w:szCs w:val="26"/>
        </w:rPr>
        <w:t>ня</w:t>
      </w:r>
      <w:r w:rsidR="00D20008">
        <w:rPr>
          <w:color w:val="000000"/>
          <w:sz w:val="28"/>
          <w:szCs w:val="26"/>
        </w:rPr>
        <w:t xml:space="preserve"> 2022</w:t>
      </w:r>
      <w:r w:rsidRPr="00FB1177">
        <w:rPr>
          <w:color w:val="000000"/>
          <w:sz w:val="28"/>
          <w:szCs w:val="26"/>
        </w:rPr>
        <w:t xml:space="preserve"> року надійшл</w:t>
      </w:r>
      <w:r w:rsidR="006F39B5">
        <w:rPr>
          <w:color w:val="000000"/>
          <w:sz w:val="28"/>
          <w:szCs w:val="26"/>
        </w:rPr>
        <w:t>а</w:t>
      </w:r>
      <w:r w:rsidR="002B6974">
        <w:rPr>
          <w:color w:val="000000"/>
          <w:sz w:val="28"/>
          <w:szCs w:val="26"/>
        </w:rPr>
        <w:t xml:space="preserve"> в сумі </w:t>
      </w:r>
      <w:r w:rsidR="001A6B3A">
        <w:rPr>
          <w:color w:val="000000"/>
          <w:sz w:val="28"/>
          <w:szCs w:val="26"/>
        </w:rPr>
        <w:t>9 501,6</w:t>
      </w:r>
      <w:r w:rsidR="00DE7542" w:rsidRPr="00DE7542">
        <w:rPr>
          <w:color w:val="000000"/>
          <w:sz w:val="28"/>
          <w:szCs w:val="26"/>
          <w:lang w:val="ru-RU"/>
        </w:rPr>
        <w:t xml:space="preserve">              </w:t>
      </w:r>
      <w:r w:rsidR="007061C9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FE3E6C">
        <w:rPr>
          <w:color w:val="000000"/>
          <w:sz w:val="28"/>
          <w:szCs w:val="26"/>
        </w:rPr>
        <w:t>133,6</w:t>
      </w:r>
      <w:r w:rsidR="007061C9">
        <w:rPr>
          <w:color w:val="000000"/>
          <w:sz w:val="28"/>
          <w:szCs w:val="26"/>
        </w:rPr>
        <w:t xml:space="preserve"> </w:t>
      </w:r>
      <w:proofErr w:type="spellStart"/>
      <w:r w:rsidR="000F7FC0" w:rsidRPr="00FB1177">
        <w:rPr>
          <w:color w:val="000000"/>
          <w:sz w:val="28"/>
          <w:szCs w:val="26"/>
        </w:rPr>
        <w:t>тис.</w:t>
      </w:r>
      <w:r w:rsidR="002B6974">
        <w:rPr>
          <w:color w:val="000000"/>
          <w:sz w:val="28"/>
          <w:szCs w:val="26"/>
        </w:rPr>
        <w:t>грн</w:t>
      </w:r>
      <w:proofErr w:type="spellEnd"/>
      <w:r w:rsidR="002B6974">
        <w:rPr>
          <w:color w:val="000000"/>
          <w:sz w:val="28"/>
          <w:szCs w:val="26"/>
        </w:rPr>
        <w:t xml:space="preserve"> </w:t>
      </w:r>
      <w:r w:rsidR="00D20008">
        <w:rPr>
          <w:color w:val="000000"/>
          <w:sz w:val="28"/>
          <w:szCs w:val="26"/>
        </w:rPr>
        <w:t>біль</w:t>
      </w:r>
      <w:r w:rsidRPr="00FB1177">
        <w:rPr>
          <w:color w:val="000000"/>
          <w:sz w:val="28"/>
          <w:szCs w:val="26"/>
        </w:rPr>
        <w:t xml:space="preserve">ше надходжень  відповідного періоду минулого року. Темп росту до відповідного періоду минулого року становить </w:t>
      </w:r>
      <w:r w:rsidR="007030CB" w:rsidRPr="00FB1177">
        <w:rPr>
          <w:color w:val="000000"/>
          <w:sz w:val="28"/>
          <w:szCs w:val="26"/>
        </w:rPr>
        <w:t xml:space="preserve">   </w:t>
      </w:r>
      <w:r w:rsidR="00D20008">
        <w:rPr>
          <w:color w:val="000000"/>
          <w:sz w:val="28"/>
          <w:szCs w:val="26"/>
        </w:rPr>
        <w:t>101,4</w:t>
      </w:r>
      <w:r w:rsidRPr="00FB1177">
        <w:rPr>
          <w:color w:val="000000"/>
          <w:sz w:val="28"/>
          <w:szCs w:val="26"/>
        </w:rPr>
        <w:t xml:space="preserve"> %. Рівень в</w:t>
      </w:r>
      <w:r w:rsidR="00DE5A4A" w:rsidRPr="00FB1177">
        <w:rPr>
          <w:color w:val="000000"/>
          <w:sz w:val="28"/>
          <w:szCs w:val="26"/>
        </w:rPr>
        <w:t>иконання п</w:t>
      </w:r>
      <w:r w:rsidR="00A762BE">
        <w:rPr>
          <w:color w:val="000000"/>
          <w:sz w:val="28"/>
          <w:szCs w:val="26"/>
        </w:rPr>
        <w:t xml:space="preserve">ланових призначень </w:t>
      </w:r>
      <w:r w:rsidR="000C6BC7">
        <w:rPr>
          <w:color w:val="000000"/>
          <w:sz w:val="28"/>
          <w:szCs w:val="26"/>
        </w:rPr>
        <w:t xml:space="preserve">на відповідний період </w:t>
      </w:r>
      <w:r w:rsidR="00A762BE">
        <w:rPr>
          <w:color w:val="000000"/>
          <w:sz w:val="28"/>
          <w:szCs w:val="26"/>
        </w:rPr>
        <w:t xml:space="preserve">становить </w:t>
      </w:r>
      <w:r w:rsidR="00D20008">
        <w:rPr>
          <w:color w:val="000000"/>
          <w:sz w:val="28"/>
          <w:szCs w:val="26"/>
        </w:rPr>
        <w:t xml:space="preserve">101,7 </w:t>
      </w:r>
      <w:r w:rsidR="00477CA5" w:rsidRPr="00492BDC">
        <w:rPr>
          <w:sz w:val="28"/>
          <w:szCs w:val="26"/>
        </w:rPr>
        <w:t>%</w:t>
      </w:r>
      <w:r w:rsidR="00F123B7" w:rsidRPr="00492BDC">
        <w:rPr>
          <w:sz w:val="28"/>
          <w:szCs w:val="26"/>
        </w:rPr>
        <w:t>.</w:t>
      </w:r>
      <w:r w:rsidR="002A5E91" w:rsidRPr="00492BDC">
        <w:rPr>
          <w:sz w:val="28"/>
          <w:szCs w:val="26"/>
        </w:rPr>
        <w:t xml:space="preserve"> Зменшення надходжень відбулось по орендній платі за землю з юридичних осіб за рахунок недоотримання коштів порівняно з минул</w:t>
      </w:r>
      <w:r w:rsidR="00BB03DB">
        <w:rPr>
          <w:sz w:val="28"/>
          <w:szCs w:val="26"/>
        </w:rPr>
        <w:t>им роком від філії «Рідний край»</w:t>
      </w:r>
      <w:r w:rsidR="002A5E91" w:rsidRPr="00492BDC">
        <w:rPr>
          <w:sz w:val="28"/>
          <w:szCs w:val="26"/>
        </w:rPr>
        <w:t xml:space="preserve"> ПРАТ </w:t>
      </w:r>
      <w:r w:rsidR="00B94EBC" w:rsidRPr="00492BDC">
        <w:rPr>
          <w:sz w:val="28"/>
          <w:szCs w:val="26"/>
        </w:rPr>
        <w:t>«</w:t>
      </w:r>
      <w:proofErr w:type="spellStart"/>
      <w:r w:rsidR="002A5E91" w:rsidRPr="00492BDC">
        <w:rPr>
          <w:sz w:val="28"/>
          <w:szCs w:val="26"/>
        </w:rPr>
        <w:t>Зернопродукт</w:t>
      </w:r>
      <w:proofErr w:type="spellEnd"/>
      <w:r w:rsidR="002A5E91" w:rsidRPr="00492BDC">
        <w:rPr>
          <w:sz w:val="28"/>
          <w:szCs w:val="26"/>
        </w:rPr>
        <w:t xml:space="preserve"> МХП</w:t>
      </w:r>
      <w:r w:rsidR="00B94EBC" w:rsidRPr="00492BDC">
        <w:rPr>
          <w:sz w:val="28"/>
          <w:szCs w:val="26"/>
        </w:rPr>
        <w:t xml:space="preserve">» </w:t>
      </w:r>
      <w:r w:rsidR="00932A85">
        <w:rPr>
          <w:sz w:val="28"/>
          <w:szCs w:val="26"/>
        </w:rPr>
        <w:t>- 513,1</w:t>
      </w:r>
      <w:r w:rsidR="00492BDC" w:rsidRPr="00492BDC">
        <w:rPr>
          <w:sz w:val="28"/>
          <w:szCs w:val="26"/>
        </w:rPr>
        <w:t xml:space="preserve"> </w:t>
      </w:r>
      <w:proofErr w:type="spellStart"/>
      <w:r w:rsidR="00492BDC" w:rsidRPr="00492BDC">
        <w:rPr>
          <w:sz w:val="28"/>
          <w:szCs w:val="26"/>
        </w:rPr>
        <w:t>тис.грн</w:t>
      </w:r>
      <w:proofErr w:type="spellEnd"/>
      <w:r w:rsidR="00492BDC" w:rsidRPr="00492BDC">
        <w:rPr>
          <w:sz w:val="28"/>
          <w:szCs w:val="26"/>
        </w:rPr>
        <w:t>,</w:t>
      </w:r>
      <w:r w:rsidR="00F15A50" w:rsidRPr="00492BDC">
        <w:rPr>
          <w:sz w:val="28"/>
          <w:szCs w:val="26"/>
        </w:rPr>
        <w:t xml:space="preserve"> </w:t>
      </w:r>
      <w:r w:rsidR="002A5E91" w:rsidRPr="00492BDC">
        <w:rPr>
          <w:sz w:val="28"/>
          <w:szCs w:val="26"/>
        </w:rPr>
        <w:t>ТОВ</w:t>
      </w:r>
      <w:r w:rsidR="00B94EBC" w:rsidRPr="00492BDC">
        <w:rPr>
          <w:sz w:val="28"/>
          <w:szCs w:val="26"/>
        </w:rPr>
        <w:t xml:space="preserve"> «</w:t>
      </w:r>
      <w:r w:rsidR="002A5E91" w:rsidRPr="00492BDC">
        <w:rPr>
          <w:sz w:val="28"/>
          <w:szCs w:val="26"/>
        </w:rPr>
        <w:t>Олійники</w:t>
      </w:r>
      <w:r w:rsidR="00B94EBC" w:rsidRPr="00492BDC">
        <w:rPr>
          <w:sz w:val="28"/>
          <w:szCs w:val="26"/>
        </w:rPr>
        <w:t xml:space="preserve">» </w:t>
      </w:r>
      <w:r w:rsidR="002A5E91" w:rsidRPr="00492BDC">
        <w:rPr>
          <w:sz w:val="28"/>
          <w:szCs w:val="26"/>
        </w:rPr>
        <w:t>-</w:t>
      </w:r>
      <w:r w:rsidR="00B94EBC" w:rsidRPr="00492BDC">
        <w:rPr>
          <w:sz w:val="28"/>
          <w:szCs w:val="26"/>
        </w:rPr>
        <w:t xml:space="preserve"> </w:t>
      </w:r>
      <w:r w:rsidR="00CE6B18">
        <w:rPr>
          <w:sz w:val="28"/>
          <w:szCs w:val="26"/>
        </w:rPr>
        <w:t>68,7</w:t>
      </w:r>
      <w:r w:rsidR="002A5E91" w:rsidRPr="00492BDC">
        <w:rPr>
          <w:sz w:val="28"/>
          <w:szCs w:val="26"/>
        </w:rPr>
        <w:t xml:space="preserve"> </w:t>
      </w:r>
      <w:proofErr w:type="spellStart"/>
      <w:r w:rsidR="002A5E91" w:rsidRPr="00492BDC">
        <w:rPr>
          <w:sz w:val="28"/>
          <w:szCs w:val="26"/>
        </w:rPr>
        <w:t>тис.гривень</w:t>
      </w:r>
      <w:proofErr w:type="spellEnd"/>
      <w:r w:rsidR="002A5E91" w:rsidRPr="00492BDC">
        <w:rPr>
          <w:sz w:val="28"/>
          <w:szCs w:val="26"/>
        </w:rPr>
        <w:t>.</w:t>
      </w:r>
      <w:r w:rsidR="00DE7542" w:rsidRPr="00492BDC">
        <w:rPr>
          <w:sz w:val="28"/>
          <w:szCs w:val="26"/>
        </w:rPr>
        <w:t xml:space="preserve"> </w:t>
      </w:r>
      <w:r w:rsidR="00E14DF1" w:rsidRPr="00492BDC">
        <w:rPr>
          <w:sz w:val="28"/>
          <w:szCs w:val="26"/>
        </w:rPr>
        <w:t>Зменш</w:t>
      </w:r>
      <w:r w:rsidR="002A5E91" w:rsidRPr="00492BDC">
        <w:rPr>
          <w:sz w:val="28"/>
          <w:szCs w:val="26"/>
        </w:rPr>
        <w:t>ення надходжень до минулого року відбулось</w:t>
      </w:r>
      <w:r w:rsidR="00E47991" w:rsidRPr="00492BDC">
        <w:rPr>
          <w:sz w:val="28"/>
          <w:szCs w:val="26"/>
        </w:rPr>
        <w:t xml:space="preserve"> також</w:t>
      </w:r>
      <w:r w:rsidR="002A5E91" w:rsidRPr="00492BDC">
        <w:rPr>
          <w:sz w:val="28"/>
          <w:szCs w:val="26"/>
        </w:rPr>
        <w:t xml:space="preserve"> по</w:t>
      </w:r>
      <w:r w:rsidR="00E47991" w:rsidRPr="00492BDC">
        <w:rPr>
          <w:sz w:val="28"/>
          <w:szCs w:val="26"/>
        </w:rPr>
        <w:t xml:space="preserve"> орендній платі</w:t>
      </w:r>
      <w:r w:rsidR="00C53781" w:rsidRPr="00492BDC">
        <w:rPr>
          <w:sz w:val="28"/>
          <w:szCs w:val="26"/>
        </w:rPr>
        <w:t xml:space="preserve"> за землю</w:t>
      </w:r>
      <w:r w:rsidR="007B3FAB" w:rsidRPr="00492BDC">
        <w:rPr>
          <w:sz w:val="28"/>
          <w:szCs w:val="26"/>
        </w:rPr>
        <w:t xml:space="preserve"> з фізичних осіб на суму </w:t>
      </w:r>
      <w:r w:rsidR="00492BDC" w:rsidRPr="00492BDC">
        <w:rPr>
          <w:sz w:val="28"/>
          <w:szCs w:val="26"/>
        </w:rPr>
        <w:t>63,2</w:t>
      </w:r>
      <w:r w:rsidR="00E47991" w:rsidRPr="00492BDC">
        <w:rPr>
          <w:sz w:val="28"/>
          <w:szCs w:val="26"/>
        </w:rPr>
        <w:t xml:space="preserve"> </w:t>
      </w:r>
      <w:proofErr w:type="spellStart"/>
      <w:r w:rsidR="00E47991" w:rsidRPr="00492BDC">
        <w:rPr>
          <w:sz w:val="28"/>
          <w:szCs w:val="26"/>
        </w:rPr>
        <w:t>тис.гривень</w:t>
      </w:r>
      <w:proofErr w:type="spellEnd"/>
      <w:r w:rsidR="00E47991" w:rsidRPr="00492BDC">
        <w:rPr>
          <w:sz w:val="28"/>
          <w:szCs w:val="26"/>
        </w:rPr>
        <w:t>.</w:t>
      </w:r>
      <w:r w:rsidR="00DE7542" w:rsidRPr="00492BDC">
        <w:rPr>
          <w:sz w:val="28"/>
          <w:szCs w:val="26"/>
        </w:rPr>
        <w:t xml:space="preserve"> </w:t>
      </w:r>
    </w:p>
    <w:p w:rsidR="00435EBB" w:rsidRPr="00AC61DF" w:rsidRDefault="00E61019" w:rsidP="00E61019">
      <w:pPr>
        <w:ind w:firstLine="709"/>
        <w:jc w:val="both"/>
        <w:rPr>
          <w:sz w:val="28"/>
          <w:szCs w:val="26"/>
        </w:rPr>
      </w:pPr>
      <w:r w:rsidRPr="00492BDC">
        <w:rPr>
          <w:sz w:val="28"/>
          <w:szCs w:val="26"/>
        </w:rPr>
        <w:t xml:space="preserve">Протягом звітного  періоду до </w:t>
      </w:r>
      <w:r w:rsidR="00435EBB" w:rsidRPr="00492BDC">
        <w:rPr>
          <w:sz w:val="28"/>
          <w:szCs w:val="28"/>
        </w:rPr>
        <w:t>бюджету селищної територіальної громади</w:t>
      </w:r>
      <w:r w:rsidRPr="00492BDC">
        <w:rPr>
          <w:sz w:val="28"/>
          <w:szCs w:val="26"/>
        </w:rPr>
        <w:t xml:space="preserve">  надійшло </w:t>
      </w:r>
      <w:r w:rsidR="00492BDC" w:rsidRPr="00492BDC">
        <w:rPr>
          <w:sz w:val="28"/>
          <w:szCs w:val="26"/>
        </w:rPr>
        <w:t xml:space="preserve">186,6 </w:t>
      </w:r>
      <w:proofErr w:type="spellStart"/>
      <w:r w:rsidR="00492BDC" w:rsidRPr="00492BDC">
        <w:rPr>
          <w:sz w:val="28"/>
          <w:szCs w:val="26"/>
        </w:rPr>
        <w:t>тис.грн</w:t>
      </w:r>
      <w:proofErr w:type="spellEnd"/>
      <w:r w:rsidR="00492BDC" w:rsidRPr="00492BDC">
        <w:rPr>
          <w:sz w:val="28"/>
          <w:szCs w:val="26"/>
        </w:rPr>
        <w:t xml:space="preserve"> транспортного податку.</w:t>
      </w:r>
      <w:r w:rsidRPr="00492BDC">
        <w:rPr>
          <w:sz w:val="28"/>
          <w:szCs w:val="26"/>
        </w:rPr>
        <w:t xml:space="preserve">  </w:t>
      </w:r>
      <w:r w:rsidRPr="00AC61DF">
        <w:rPr>
          <w:sz w:val="28"/>
          <w:szCs w:val="26"/>
        </w:rPr>
        <w:t xml:space="preserve">Дані кошти надійшли від ТОВ </w:t>
      </w:r>
      <w:r w:rsidR="008B1E3A" w:rsidRPr="00AC61DF">
        <w:rPr>
          <w:sz w:val="28"/>
          <w:szCs w:val="26"/>
        </w:rPr>
        <w:t>«Україна 2001»</w:t>
      </w:r>
      <w:r w:rsidR="000F7FC0" w:rsidRPr="00AC61DF">
        <w:rPr>
          <w:sz w:val="28"/>
          <w:szCs w:val="26"/>
        </w:rPr>
        <w:t xml:space="preserve"> </w:t>
      </w:r>
      <w:r w:rsidR="00435EBB" w:rsidRPr="00AC61DF">
        <w:rPr>
          <w:sz w:val="28"/>
          <w:szCs w:val="26"/>
        </w:rPr>
        <w:t>-</w:t>
      </w:r>
      <w:r w:rsidR="000F7FC0" w:rsidRPr="00AC61DF">
        <w:rPr>
          <w:sz w:val="28"/>
          <w:szCs w:val="26"/>
        </w:rPr>
        <w:t xml:space="preserve"> </w:t>
      </w:r>
      <w:r w:rsidR="00D1254A" w:rsidRPr="00AC61DF">
        <w:rPr>
          <w:sz w:val="28"/>
          <w:szCs w:val="26"/>
        </w:rPr>
        <w:t>160,6</w:t>
      </w:r>
      <w:r w:rsidRPr="00AC61DF">
        <w:rPr>
          <w:sz w:val="28"/>
          <w:szCs w:val="26"/>
        </w:rPr>
        <w:t xml:space="preserve"> </w:t>
      </w:r>
      <w:proofErr w:type="spellStart"/>
      <w:r w:rsidRPr="00AC61DF">
        <w:rPr>
          <w:sz w:val="28"/>
          <w:szCs w:val="26"/>
        </w:rPr>
        <w:t>тис.грн</w:t>
      </w:r>
      <w:proofErr w:type="spellEnd"/>
      <w:r w:rsidRPr="00AC61DF">
        <w:rPr>
          <w:sz w:val="28"/>
          <w:szCs w:val="26"/>
        </w:rPr>
        <w:t>,</w:t>
      </w:r>
      <w:r w:rsidR="000F7FC0" w:rsidRPr="00AC61DF">
        <w:rPr>
          <w:sz w:val="28"/>
          <w:szCs w:val="26"/>
        </w:rPr>
        <w:t xml:space="preserve"> </w:t>
      </w:r>
      <w:r w:rsidRPr="00AC61DF">
        <w:rPr>
          <w:sz w:val="28"/>
          <w:szCs w:val="26"/>
        </w:rPr>
        <w:t>ПРАТ</w:t>
      </w:r>
      <w:r w:rsidR="000F7FC0" w:rsidRPr="00AC61DF">
        <w:rPr>
          <w:sz w:val="28"/>
          <w:szCs w:val="26"/>
        </w:rPr>
        <w:t xml:space="preserve"> </w:t>
      </w:r>
      <w:r w:rsidR="008B1E3A" w:rsidRPr="00AC61DF">
        <w:rPr>
          <w:sz w:val="28"/>
          <w:szCs w:val="26"/>
        </w:rPr>
        <w:t>«</w:t>
      </w:r>
      <w:proofErr w:type="spellStart"/>
      <w:r w:rsidR="008B1E3A" w:rsidRPr="00AC61DF">
        <w:rPr>
          <w:sz w:val="28"/>
          <w:szCs w:val="26"/>
        </w:rPr>
        <w:t>Теофіпольський</w:t>
      </w:r>
      <w:proofErr w:type="spellEnd"/>
      <w:r w:rsidR="008B1E3A" w:rsidRPr="00AC61DF">
        <w:rPr>
          <w:sz w:val="28"/>
          <w:szCs w:val="26"/>
        </w:rPr>
        <w:t xml:space="preserve"> цукровий завод»</w:t>
      </w:r>
      <w:r w:rsidR="00DE6F6C" w:rsidRPr="00AC61DF">
        <w:rPr>
          <w:sz w:val="28"/>
          <w:szCs w:val="26"/>
        </w:rPr>
        <w:t xml:space="preserve"> </w:t>
      </w:r>
      <w:r w:rsidR="00DE5A4A" w:rsidRPr="00AC61DF">
        <w:rPr>
          <w:sz w:val="28"/>
          <w:szCs w:val="26"/>
        </w:rPr>
        <w:t>-</w:t>
      </w:r>
      <w:r w:rsidR="00435EBB" w:rsidRPr="00AC61DF">
        <w:rPr>
          <w:sz w:val="28"/>
          <w:szCs w:val="26"/>
        </w:rPr>
        <w:t xml:space="preserve"> </w:t>
      </w:r>
      <w:r w:rsidR="00D1254A" w:rsidRPr="00AC61DF">
        <w:rPr>
          <w:sz w:val="28"/>
          <w:szCs w:val="26"/>
        </w:rPr>
        <w:t>25,0</w:t>
      </w:r>
      <w:r w:rsidR="00492BDC" w:rsidRPr="00AC61DF">
        <w:rPr>
          <w:sz w:val="28"/>
          <w:szCs w:val="26"/>
        </w:rPr>
        <w:t xml:space="preserve"> </w:t>
      </w:r>
      <w:proofErr w:type="spellStart"/>
      <w:r w:rsidR="00492BDC" w:rsidRPr="00AC61DF">
        <w:rPr>
          <w:sz w:val="28"/>
          <w:szCs w:val="26"/>
        </w:rPr>
        <w:t>тис.гр</w:t>
      </w:r>
      <w:r w:rsidR="00AC61DF" w:rsidRPr="00AC61DF">
        <w:rPr>
          <w:sz w:val="28"/>
          <w:szCs w:val="26"/>
        </w:rPr>
        <w:t>н</w:t>
      </w:r>
      <w:proofErr w:type="spellEnd"/>
      <w:r w:rsidR="00492BDC" w:rsidRPr="00AC61DF">
        <w:rPr>
          <w:sz w:val="28"/>
          <w:szCs w:val="26"/>
        </w:rPr>
        <w:t>,</w:t>
      </w:r>
      <w:r w:rsidR="00AC61DF" w:rsidRPr="00AC61DF">
        <w:rPr>
          <w:sz w:val="28"/>
          <w:szCs w:val="26"/>
        </w:rPr>
        <w:t xml:space="preserve"> </w:t>
      </w:r>
      <w:r w:rsidR="00492BDC" w:rsidRPr="00AC61DF">
        <w:rPr>
          <w:sz w:val="28"/>
          <w:szCs w:val="26"/>
        </w:rPr>
        <w:t xml:space="preserve">а також 1,0 </w:t>
      </w:r>
      <w:proofErr w:type="spellStart"/>
      <w:r w:rsidR="00492BDC" w:rsidRPr="00AC61DF">
        <w:rPr>
          <w:sz w:val="28"/>
          <w:szCs w:val="26"/>
        </w:rPr>
        <w:t>тис.грн</w:t>
      </w:r>
      <w:proofErr w:type="spellEnd"/>
      <w:r w:rsidR="00492BDC" w:rsidRPr="00AC61DF">
        <w:rPr>
          <w:sz w:val="28"/>
          <w:szCs w:val="26"/>
        </w:rPr>
        <w:t xml:space="preserve"> від фізичної особи.</w:t>
      </w:r>
      <w:r w:rsidR="00DE6F6C" w:rsidRPr="00AC61DF">
        <w:rPr>
          <w:sz w:val="28"/>
          <w:szCs w:val="26"/>
        </w:rPr>
        <w:t xml:space="preserve"> </w:t>
      </w:r>
    </w:p>
    <w:p w:rsidR="00BC3782" w:rsidRPr="00D81612" w:rsidRDefault="00BC3782" w:rsidP="00022F83">
      <w:pPr>
        <w:ind w:firstLine="709"/>
        <w:jc w:val="both"/>
        <w:rPr>
          <w:color w:val="FF0000"/>
          <w:sz w:val="20"/>
          <w:szCs w:val="20"/>
        </w:rPr>
      </w:pPr>
    </w:p>
    <w:p w:rsidR="00022F83" w:rsidRPr="00FB1177" w:rsidRDefault="00E61019" w:rsidP="00022F83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Єдиного податку за звітний період надійшло</w:t>
      </w:r>
      <w:r w:rsidR="000F7FC0" w:rsidRPr="00FB1177">
        <w:rPr>
          <w:color w:val="000000"/>
          <w:sz w:val="28"/>
          <w:szCs w:val="26"/>
        </w:rPr>
        <w:t xml:space="preserve"> </w:t>
      </w:r>
      <w:r w:rsidR="00932A85">
        <w:rPr>
          <w:color w:val="000000"/>
          <w:sz w:val="28"/>
          <w:szCs w:val="26"/>
        </w:rPr>
        <w:t>29 088,6</w:t>
      </w:r>
      <w:r w:rsidR="00DE7542" w:rsidRPr="00DE7542">
        <w:rPr>
          <w:color w:val="000000"/>
          <w:sz w:val="28"/>
          <w:szCs w:val="26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7542" w:rsidRPr="00DE7542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що становить </w:t>
      </w:r>
      <w:r w:rsidR="00932A85">
        <w:rPr>
          <w:color w:val="000000"/>
          <w:sz w:val="28"/>
          <w:szCs w:val="26"/>
        </w:rPr>
        <w:t>112,0</w:t>
      </w:r>
      <w:r w:rsidR="0097702C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% до надходжень відповідного періо</w:t>
      </w:r>
      <w:r w:rsidR="00E030A9" w:rsidRPr="00FB1177">
        <w:rPr>
          <w:color w:val="000000"/>
          <w:sz w:val="28"/>
          <w:szCs w:val="26"/>
        </w:rPr>
        <w:t xml:space="preserve">ду минулого року. </w:t>
      </w:r>
      <w:r w:rsidR="00022F83" w:rsidRPr="00FB1177">
        <w:rPr>
          <w:color w:val="000000"/>
          <w:sz w:val="28"/>
          <w:szCs w:val="26"/>
        </w:rPr>
        <w:t xml:space="preserve">Питома вага даного податку у власних надходженнях становить </w:t>
      </w:r>
      <w:r w:rsidR="00D20008">
        <w:rPr>
          <w:color w:val="000000"/>
          <w:sz w:val="28"/>
          <w:szCs w:val="26"/>
        </w:rPr>
        <w:t>22</w:t>
      </w:r>
      <w:r w:rsidR="00D81612">
        <w:rPr>
          <w:color w:val="000000"/>
          <w:sz w:val="28"/>
          <w:szCs w:val="26"/>
        </w:rPr>
        <w:t>,1</w:t>
      </w:r>
      <w:r w:rsidR="00022F83" w:rsidRPr="00FB1177">
        <w:rPr>
          <w:color w:val="000000"/>
          <w:sz w:val="28"/>
          <w:szCs w:val="26"/>
        </w:rPr>
        <w:t xml:space="preserve"> %.</w:t>
      </w:r>
    </w:p>
    <w:p w:rsidR="00BC3782" w:rsidRPr="002E0DDE" w:rsidRDefault="00BC3782" w:rsidP="00022F83">
      <w:pPr>
        <w:ind w:firstLine="720"/>
        <w:jc w:val="both"/>
        <w:rPr>
          <w:sz w:val="20"/>
          <w:szCs w:val="20"/>
          <w:lang w:val="ru-RU"/>
        </w:rPr>
      </w:pPr>
    </w:p>
    <w:p w:rsidR="00022F83" w:rsidRDefault="00022F83" w:rsidP="00022F83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 також, за звітний період 2021 року до </w:t>
      </w:r>
      <w:r w:rsidR="00435EBB">
        <w:rPr>
          <w:color w:val="000000"/>
          <w:sz w:val="28"/>
          <w:szCs w:val="28"/>
        </w:rPr>
        <w:t xml:space="preserve">бюджету </w:t>
      </w:r>
      <w:proofErr w:type="spellStart"/>
      <w:r w:rsidR="00435EBB" w:rsidRPr="00FB1177">
        <w:rPr>
          <w:color w:val="000000"/>
          <w:sz w:val="28"/>
          <w:szCs w:val="28"/>
        </w:rPr>
        <w:t>селищн</w:t>
      </w:r>
      <w:r w:rsidR="00435EBB">
        <w:rPr>
          <w:color w:val="000000"/>
          <w:sz w:val="28"/>
          <w:szCs w:val="28"/>
          <w:lang w:val="ru-RU"/>
        </w:rPr>
        <w:t>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громади</w:t>
      </w:r>
      <w:proofErr w:type="spellEnd"/>
      <w:r w:rsidR="00435EBB" w:rsidRPr="00FB1177">
        <w:rPr>
          <w:color w:val="000000"/>
          <w:sz w:val="28"/>
          <w:szCs w:val="26"/>
        </w:rPr>
        <w:t xml:space="preserve">  </w:t>
      </w:r>
      <w:r>
        <w:rPr>
          <w:sz w:val="28"/>
          <w:szCs w:val="26"/>
        </w:rPr>
        <w:t>надійшли:</w:t>
      </w:r>
    </w:p>
    <w:p w:rsidR="00022F83" w:rsidRPr="00893155" w:rsidRDefault="00022F83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податок на прибуток підприємств комунальної власності – </w:t>
      </w:r>
      <w:r w:rsidR="00D20008">
        <w:rPr>
          <w:sz w:val="28"/>
          <w:szCs w:val="26"/>
        </w:rPr>
        <w:t>5</w:t>
      </w:r>
      <w:r w:rsidR="0097702C" w:rsidRPr="00893155">
        <w:rPr>
          <w:sz w:val="28"/>
          <w:szCs w:val="26"/>
        </w:rPr>
        <w:t>4</w:t>
      </w:r>
      <w:r w:rsidR="00E22DAB" w:rsidRPr="00893155">
        <w:rPr>
          <w:sz w:val="28"/>
          <w:szCs w:val="26"/>
        </w:rPr>
        <w:t>,1</w:t>
      </w:r>
      <w:r w:rsidR="00435EBB" w:rsidRPr="00893155">
        <w:rPr>
          <w:sz w:val="28"/>
          <w:szCs w:val="26"/>
        </w:rPr>
        <w:t xml:space="preserve"> </w:t>
      </w:r>
      <w:proofErr w:type="spellStart"/>
      <w:r w:rsidR="00041DFF" w:rsidRPr="00893155">
        <w:rPr>
          <w:sz w:val="28"/>
          <w:szCs w:val="26"/>
        </w:rPr>
        <w:t>тис.</w:t>
      </w:r>
      <w:r w:rsidRPr="00893155">
        <w:rPr>
          <w:sz w:val="28"/>
          <w:szCs w:val="26"/>
        </w:rPr>
        <w:t>грн</w:t>
      </w:r>
      <w:proofErr w:type="spellEnd"/>
      <w:r w:rsidRPr="00893155">
        <w:rPr>
          <w:sz w:val="28"/>
          <w:szCs w:val="26"/>
        </w:rPr>
        <w:t xml:space="preserve">;  </w:t>
      </w:r>
    </w:p>
    <w:p w:rsidR="00022F83" w:rsidRPr="00893155" w:rsidRDefault="00543F50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рентної плати – </w:t>
      </w:r>
      <w:r w:rsidR="00D81612">
        <w:rPr>
          <w:sz w:val="28"/>
          <w:szCs w:val="26"/>
        </w:rPr>
        <w:t>73,6</w:t>
      </w:r>
      <w:r w:rsidRPr="00893155">
        <w:rPr>
          <w:sz w:val="28"/>
          <w:szCs w:val="26"/>
        </w:rPr>
        <w:t xml:space="preserve"> </w:t>
      </w:r>
      <w:r w:rsidR="00022F83" w:rsidRPr="00893155">
        <w:rPr>
          <w:sz w:val="28"/>
          <w:szCs w:val="26"/>
        </w:rPr>
        <w:t>тис грн;</w:t>
      </w:r>
    </w:p>
    <w:p w:rsidR="00543F50" w:rsidRPr="00893155" w:rsidRDefault="00543F50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>адміністративних штраф</w:t>
      </w:r>
      <w:r w:rsidR="00041DFF" w:rsidRPr="00893155">
        <w:rPr>
          <w:sz w:val="28"/>
          <w:szCs w:val="26"/>
        </w:rPr>
        <w:t xml:space="preserve">ів та інших санкцій – </w:t>
      </w:r>
      <w:r w:rsidR="00D20008">
        <w:rPr>
          <w:sz w:val="28"/>
          <w:szCs w:val="26"/>
        </w:rPr>
        <w:t>735,1</w:t>
      </w:r>
      <w:r w:rsidR="00041DFF" w:rsidRPr="00893155">
        <w:rPr>
          <w:sz w:val="28"/>
          <w:szCs w:val="26"/>
        </w:rPr>
        <w:t xml:space="preserve"> </w:t>
      </w:r>
      <w:proofErr w:type="spellStart"/>
      <w:r w:rsidR="00041DFF" w:rsidRPr="00893155">
        <w:rPr>
          <w:sz w:val="28"/>
          <w:szCs w:val="26"/>
        </w:rPr>
        <w:t>тис.</w:t>
      </w:r>
      <w:r w:rsidRPr="00893155">
        <w:rPr>
          <w:sz w:val="28"/>
          <w:szCs w:val="26"/>
        </w:rPr>
        <w:t>грн</w:t>
      </w:r>
      <w:proofErr w:type="spellEnd"/>
      <w:r w:rsidRPr="00893155">
        <w:rPr>
          <w:sz w:val="28"/>
          <w:szCs w:val="26"/>
        </w:rPr>
        <w:t>;</w:t>
      </w:r>
    </w:p>
    <w:p w:rsidR="00543F50" w:rsidRPr="00893155" w:rsidRDefault="00543F50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>плати за надання адмін</w:t>
      </w:r>
      <w:r w:rsidR="00041DFF" w:rsidRPr="00893155">
        <w:rPr>
          <w:sz w:val="28"/>
          <w:szCs w:val="26"/>
        </w:rPr>
        <w:t xml:space="preserve">істративних послуг – </w:t>
      </w:r>
      <w:r w:rsidR="006B0245" w:rsidRPr="00893155">
        <w:rPr>
          <w:sz w:val="28"/>
          <w:szCs w:val="26"/>
        </w:rPr>
        <w:t>2</w:t>
      </w:r>
      <w:r w:rsidR="00D20008">
        <w:rPr>
          <w:sz w:val="28"/>
          <w:szCs w:val="26"/>
        </w:rPr>
        <w:t> 915,8</w:t>
      </w:r>
      <w:r w:rsidR="00041DFF" w:rsidRPr="00893155">
        <w:rPr>
          <w:sz w:val="28"/>
          <w:szCs w:val="26"/>
        </w:rPr>
        <w:t xml:space="preserve"> </w:t>
      </w:r>
      <w:proofErr w:type="spellStart"/>
      <w:r w:rsidR="00041DFF" w:rsidRPr="00893155">
        <w:rPr>
          <w:sz w:val="28"/>
          <w:szCs w:val="26"/>
        </w:rPr>
        <w:t>тис.</w:t>
      </w:r>
      <w:r w:rsidRPr="00893155">
        <w:rPr>
          <w:sz w:val="28"/>
          <w:szCs w:val="26"/>
        </w:rPr>
        <w:t>грн</w:t>
      </w:r>
      <w:proofErr w:type="spellEnd"/>
      <w:r w:rsidRPr="00893155">
        <w:rPr>
          <w:sz w:val="28"/>
          <w:szCs w:val="26"/>
        </w:rPr>
        <w:t>;</w:t>
      </w:r>
    </w:p>
    <w:p w:rsidR="00543F50" w:rsidRPr="00893155" w:rsidRDefault="00022F83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надходження від орендної плати за користування цілісним майновим       </w:t>
      </w:r>
      <w:r w:rsidR="00543F50" w:rsidRPr="00893155">
        <w:rPr>
          <w:sz w:val="28"/>
          <w:szCs w:val="26"/>
        </w:rPr>
        <w:t xml:space="preserve">      </w:t>
      </w:r>
      <w:r w:rsidR="007D7DB2" w:rsidRPr="00893155">
        <w:rPr>
          <w:sz w:val="28"/>
          <w:szCs w:val="26"/>
        </w:rPr>
        <w:t xml:space="preserve">   </w:t>
      </w:r>
      <w:r w:rsidRPr="00893155">
        <w:rPr>
          <w:sz w:val="28"/>
          <w:szCs w:val="26"/>
        </w:rPr>
        <w:t>комплексом та іншим майном, що перебуває в комунальній власності –</w:t>
      </w:r>
      <w:r w:rsidR="00041DFF" w:rsidRPr="00893155">
        <w:rPr>
          <w:sz w:val="28"/>
          <w:szCs w:val="26"/>
        </w:rPr>
        <w:t xml:space="preserve">                                  </w:t>
      </w:r>
      <w:r w:rsidRPr="00893155">
        <w:rPr>
          <w:sz w:val="28"/>
          <w:szCs w:val="26"/>
        </w:rPr>
        <w:t xml:space="preserve"> </w:t>
      </w:r>
      <w:r w:rsidR="00D20008">
        <w:rPr>
          <w:sz w:val="28"/>
          <w:szCs w:val="26"/>
        </w:rPr>
        <w:t>14,5</w:t>
      </w:r>
      <w:r w:rsidRPr="00893155">
        <w:rPr>
          <w:sz w:val="28"/>
          <w:szCs w:val="26"/>
        </w:rPr>
        <w:t xml:space="preserve"> </w:t>
      </w:r>
      <w:proofErr w:type="spellStart"/>
      <w:r w:rsidRPr="00893155">
        <w:rPr>
          <w:sz w:val="28"/>
          <w:szCs w:val="26"/>
        </w:rPr>
        <w:t>тис.грн</w:t>
      </w:r>
      <w:proofErr w:type="spellEnd"/>
      <w:r w:rsidRPr="00893155">
        <w:rPr>
          <w:sz w:val="28"/>
          <w:szCs w:val="26"/>
        </w:rPr>
        <w:t xml:space="preserve">;  </w:t>
      </w:r>
    </w:p>
    <w:p w:rsidR="00543F50" w:rsidRPr="00893155" w:rsidRDefault="00041DFF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державне мито – </w:t>
      </w:r>
      <w:r w:rsidR="00D20008">
        <w:rPr>
          <w:sz w:val="28"/>
          <w:szCs w:val="26"/>
        </w:rPr>
        <w:t>110,3</w:t>
      </w:r>
      <w:r w:rsidRPr="00893155">
        <w:rPr>
          <w:sz w:val="28"/>
          <w:szCs w:val="26"/>
        </w:rPr>
        <w:t xml:space="preserve"> </w:t>
      </w:r>
      <w:proofErr w:type="spellStart"/>
      <w:r w:rsidRPr="00893155">
        <w:rPr>
          <w:sz w:val="28"/>
          <w:szCs w:val="26"/>
        </w:rPr>
        <w:t>тис.</w:t>
      </w:r>
      <w:r w:rsidR="00543F50" w:rsidRPr="00893155">
        <w:rPr>
          <w:sz w:val="28"/>
          <w:szCs w:val="26"/>
        </w:rPr>
        <w:t>грн</w:t>
      </w:r>
      <w:proofErr w:type="spellEnd"/>
      <w:r w:rsidR="00543F50" w:rsidRPr="00893155">
        <w:rPr>
          <w:sz w:val="28"/>
          <w:szCs w:val="26"/>
        </w:rPr>
        <w:t>;</w:t>
      </w:r>
    </w:p>
    <w:p w:rsidR="00022F83" w:rsidRPr="00893155" w:rsidRDefault="00022F83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інших надходжень – </w:t>
      </w:r>
      <w:r w:rsidR="00DC6A63">
        <w:rPr>
          <w:sz w:val="28"/>
          <w:szCs w:val="26"/>
        </w:rPr>
        <w:t xml:space="preserve">96,8 </w:t>
      </w:r>
      <w:proofErr w:type="spellStart"/>
      <w:r w:rsidR="00041DFF" w:rsidRPr="00893155">
        <w:rPr>
          <w:sz w:val="28"/>
          <w:szCs w:val="26"/>
        </w:rPr>
        <w:t>тис.</w:t>
      </w:r>
      <w:r w:rsidRPr="00893155">
        <w:rPr>
          <w:sz w:val="28"/>
          <w:szCs w:val="26"/>
        </w:rPr>
        <w:t>грн</w:t>
      </w:r>
      <w:proofErr w:type="spellEnd"/>
      <w:r w:rsidRPr="00893155">
        <w:rPr>
          <w:sz w:val="28"/>
          <w:szCs w:val="26"/>
        </w:rPr>
        <w:t>;</w:t>
      </w:r>
    </w:p>
    <w:p w:rsidR="001A3B68" w:rsidRPr="00893155" w:rsidRDefault="001A3B68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>орендної плата за водні об`єкти (їх частини), що надаються в користування на умовах оренди  місцевими радами </w:t>
      </w:r>
      <w:r w:rsidR="006B0245" w:rsidRPr="00893155">
        <w:rPr>
          <w:sz w:val="28"/>
          <w:szCs w:val="26"/>
        </w:rPr>
        <w:t xml:space="preserve">– </w:t>
      </w:r>
      <w:r w:rsidR="00DC6A63">
        <w:rPr>
          <w:sz w:val="28"/>
          <w:szCs w:val="26"/>
        </w:rPr>
        <w:t>2,2</w:t>
      </w:r>
      <w:r w:rsidRPr="00893155">
        <w:rPr>
          <w:sz w:val="28"/>
          <w:szCs w:val="26"/>
        </w:rPr>
        <w:t xml:space="preserve"> </w:t>
      </w:r>
      <w:proofErr w:type="spellStart"/>
      <w:r w:rsidRPr="00893155">
        <w:rPr>
          <w:sz w:val="28"/>
          <w:szCs w:val="26"/>
        </w:rPr>
        <w:t>тис.грн</w:t>
      </w:r>
      <w:proofErr w:type="spellEnd"/>
      <w:r w:rsidRPr="00893155">
        <w:rPr>
          <w:sz w:val="28"/>
          <w:szCs w:val="26"/>
        </w:rPr>
        <w:t>;</w:t>
      </w:r>
    </w:p>
    <w:p w:rsidR="00022F83" w:rsidRPr="00893155" w:rsidRDefault="00022F83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>надходження коштів від р</w:t>
      </w:r>
      <w:r w:rsidR="00543F50" w:rsidRPr="00893155">
        <w:rPr>
          <w:sz w:val="28"/>
          <w:szCs w:val="26"/>
        </w:rPr>
        <w:t>еалізації безхазяйного майна – 0</w:t>
      </w:r>
      <w:r w:rsidR="00860A17" w:rsidRPr="00893155">
        <w:rPr>
          <w:sz w:val="28"/>
          <w:szCs w:val="26"/>
        </w:rPr>
        <w:t>,7</w:t>
      </w:r>
      <w:r w:rsidRPr="00893155">
        <w:rPr>
          <w:sz w:val="28"/>
          <w:szCs w:val="26"/>
        </w:rPr>
        <w:t xml:space="preserve"> </w:t>
      </w:r>
      <w:proofErr w:type="spellStart"/>
      <w:r w:rsidRPr="00893155">
        <w:rPr>
          <w:sz w:val="28"/>
          <w:szCs w:val="26"/>
        </w:rPr>
        <w:t>тис.гривень</w:t>
      </w:r>
      <w:proofErr w:type="spellEnd"/>
      <w:r w:rsidRPr="00893155">
        <w:rPr>
          <w:sz w:val="28"/>
          <w:szCs w:val="26"/>
        </w:rPr>
        <w:t>.</w:t>
      </w:r>
    </w:p>
    <w:p w:rsidR="00BC3782" w:rsidRPr="000B6AE0" w:rsidRDefault="00BC3782" w:rsidP="00022F83">
      <w:pPr>
        <w:ind w:firstLine="720"/>
        <w:jc w:val="both"/>
        <w:rPr>
          <w:sz w:val="28"/>
          <w:szCs w:val="20"/>
        </w:rPr>
      </w:pPr>
    </w:p>
    <w:p w:rsidR="00022F83" w:rsidRDefault="00022F83" w:rsidP="00022F83">
      <w:pPr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</w:rPr>
        <w:t xml:space="preserve">До доходів спеціального фонду (без врахування міжбюджетних трансфертів та власних надходжень бюджетних установ) надійшло </w:t>
      </w:r>
      <w:proofErr w:type="spellStart"/>
      <w:r>
        <w:rPr>
          <w:sz w:val="28"/>
          <w:szCs w:val="20"/>
        </w:rPr>
        <w:t>подат</w:t>
      </w:r>
      <w:r>
        <w:rPr>
          <w:sz w:val="28"/>
          <w:szCs w:val="20"/>
          <w:lang w:val="ru-RU"/>
        </w:rPr>
        <w:t>ків</w:t>
      </w:r>
      <w:proofErr w:type="spellEnd"/>
      <w:r>
        <w:rPr>
          <w:sz w:val="28"/>
          <w:szCs w:val="20"/>
          <w:lang w:val="ru-RU"/>
        </w:rPr>
        <w:t xml:space="preserve"> та </w:t>
      </w:r>
      <w:r w:rsidRPr="00DE7542">
        <w:rPr>
          <w:sz w:val="28"/>
          <w:szCs w:val="20"/>
        </w:rPr>
        <w:t>зборів</w:t>
      </w:r>
      <w:r>
        <w:rPr>
          <w:sz w:val="28"/>
          <w:szCs w:val="20"/>
          <w:lang w:val="ru-RU"/>
        </w:rPr>
        <w:t xml:space="preserve"> на суму </w:t>
      </w:r>
      <w:r w:rsidR="00932A85">
        <w:rPr>
          <w:sz w:val="28"/>
          <w:szCs w:val="20"/>
          <w:lang w:val="ru-RU"/>
        </w:rPr>
        <w:t>534,3</w:t>
      </w:r>
      <w:r w:rsidR="00470B01">
        <w:rPr>
          <w:sz w:val="28"/>
          <w:szCs w:val="20"/>
          <w:lang w:val="ru-RU"/>
        </w:rPr>
        <w:t xml:space="preserve"> </w:t>
      </w:r>
      <w:proofErr w:type="spellStart"/>
      <w:r w:rsidR="00305D9B">
        <w:rPr>
          <w:sz w:val="28"/>
          <w:szCs w:val="20"/>
          <w:lang w:val="ru-RU"/>
        </w:rPr>
        <w:t>тис.грн</w:t>
      </w:r>
      <w:proofErr w:type="spellEnd"/>
      <w:r>
        <w:rPr>
          <w:sz w:val="28"/>
          <w:szCs w:val="20"/>
          <w:lang w:val="ru-RU"/>
        </w:rPr>
        <w:t xml:space="preserve">, з них: </w:t>
      </w:r>
    </w:p>
    <w:p w:rsidR="00601F25" w:rsidRPr="00893155" w:rsidRDefault="00022F83" w:rsidP="00893155">
      <w:pPr>
        <w:pStyle w:val="ae"/>
        <w:numPr>
          <w:ilvl w:val="0"/>
          <w:numId w:val="8"/>
        </w:numPr>
        <w:jc w:val="both"/>
        <w:rPr>
          <w:sz w:val="28"/>
          <w:szCs w:val="20"/>
          <w:lang w:val="ru-RU"/>
        </w:rPr>
      </w:pPr>
      <w:proofErr w:type="spellStart"/>
      <w:r w:rsidRPr="00893155">
        <w:rPr>
          <w:sz w:val="28"/>
          <w:szCs w:val="20"/>
          <w:lang w:val="ru-RU"/>
        </w:rPr>
        <w:t>екологічний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податок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надійшов</w:t>
      </w:r>
      <w:proofErr w:type="spellEnd"/>
      <w:r w:rsidRPr="00893155">
        <w:rPr>
          <w:sz w:val="28"/>
          <w:szCs w:val="20"/>
          <w:lang w:val="ru-RU"/>
        </w:rPr>
        <w:t xml:space="preserve"> в </w:t>
      </w:r>
      <w:proofErr w:type="spellStart"/>
      <w:r w:rsidRPr="00893155">
        <w:rPr>
          <w:sz w:val="28"/>
          <w:szCs w:val="20"/>
          <w:lang w:val="ru-RU"/>
        </w:rPr>
        <w:t>сумі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r w:rsidR="00D81612">
        <w:rPr>
          <w:sz w:val="28"/>
          <w:szCs w:val="20"/>
          <w:lang w:val="ru-RU"/>
        </w:rPr>
        <w:t>197,6</w:t>
      </w:r>
      <w:r w:rsidR="00543F50" w:rsidRPr="00893155">
        <w:rPr>
          <w:sz w:val="28"/>
          <w:szCs w:val="20"/>
          <w:lang w:val="ru-RU"/>
        </w:rPr>
        <w:t xml:space="preserve"> </w:t>
      </w:r>
      <w:proofErr w:type="spellStart"/>
      <w:r w:rsidR="00543F50" w:rsidRPr="00893155">
        <w:rPr>
          <w:sz w:val="28"/>
          <w:szCs w:val="20"/>
          <w:lang w:val="ru-RU"/>
        </w:rPr>
        <w:t>тис</w:t>
      </w:r>
      <w:proofErr w:type="gramStart"/>
      <w:r w:rsidR="00543F50" w:rsidRPr="00893155">
        <w:rPr>
          <w:sz w:val="28"/>
          <w:szCs w:val="20"/>
          <w:lang w:val="ru-RU"/>
        </w:rPr>
        <w:t>.г</w:t>
      </w:r>
      <w:proofErr w:type="gramEnd"/>
      <w:r w:rsidR="00543F50" w:rsidRPr="00893155">
        <w:rPr>
          <w:sz w:val="28"/>
          <w:szCs w:val="20"/>
          <w:lang w:val="ru-RU"/>
        </w:rPr>
        <w:t>рн</w:t>
      </w:r>
      <w:proofErr w:type="spellEnd"/>
      <w:r w:rsidR="00543F50" w:rsidRPr="00893155">
        <w:rPr>
          <w:sz w:val="28"/>
          <w:szCs w:val="20"/>
          <w:lang w:val="ru-RU"/>
        </w:rPr>
        <w:t xml:space="preserve">, </w:t>
      </w:r>
      <w:proofErr w:type="spellStart"/>
      <w:r w:rsidR="00543F50" w:rsidRPr="00893155">
        <w:rPr>
          <w:sz w:val="28"/>
          <w:szCs w:val="20"/>
          <w:lang w:val="ru-RU"/>
        </w:rPr>
        <w:t>що</w:t>
      </w:r>
      <w:proofErr w:type="spellEnd"/>
      <w:r w:rsidR="00543F50" w:rsidRPr="00893155">
        <w:rPr>
          <w:sz w:val="28"/>
          <w:szCs w:val="20"/>
          <w:lang w:val="ru-RU"/>
        </w:rPr>
        <w:t xml:space="preserve"> на </w:t>
      </w:r>
      <w:r w:rsidR="00D81612">
        <w:rPr>
          <w:sz w:val="28"/>
          <w:szCs w:val="20"/>
          <w:lang w:val="ru-RU"/>
        </w:rPr>
        <w:t>14,7</w:t>
      </w:r>
      <w:r w:rsidRPr="00893155">
        <w:rPr>
          <w:sz w:val="28"/>
          <w:szCs w:val="20"/>
          <w:lang w:val="ru-RU"/>
        </w:rPr>
        <w:t xml:space="preserve"> тис. </w:t>
      </w:r>
      <w:proofErr w:type="spellStart"/>
      <w:r w:rsidRPr="00893155">
        <w:rPr>
          <w:sz w:val="28"/>
          <w:szCs w:val="20"/>
          <w:lang w:val="ru-RU"/>
        </w:rPr>
        <w:t>грн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="00B54FF2" w:rsidRPr="00893155">
        <w:rPr>
          <w:sz w:val="28"/>
          <w:szCs w:val="20"/>
          <w:lang w:val="ru-RU"/>
        </w:rPr>
        <w:t>біль</w:t>
      </w:r>
      <w:r w:rsidR="00DC7BC0" w:rsidRPr="00893155">
        <w:rPr>
          <w:sz w:val="28"/>
          <w:szCs w:val="20"/>
          <w:lang w:val="ru-RU"/>
        </w:rPr>
        <w:t>ше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надходжень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="00446939" w:rsidRPr="00893155">
        <w:rPr>
          <w:sz w:val="28"/>
          <w:szCs w:val="20"/>
          <w:lang w:val="ru-RU"/>
        </w:rPr>
        <w:t>відповідного</w:t>
      </w:r>
      <w:proofErr w:type="spellEnd"/>
      <w:r w:rsidR="00446939" w:rsidRPr="00893155">
        <w:rPr>
          <w:sz w:val="28"/>
          <w:szCs w:val="20"/>
          <w:lang w:val="ru-RU"/>
        </w:rPr>
        <w:t xml:space="preserve"> </w:t>
      </w:r>
      <w:proofErr w:type="spellStart"/>
      <w:r w:rsidR="00446939" w:rsidRPr="00893155">
        <w:rPr>
          <w:sz w:val="28"/>
          <w:szCs w:val="20"/>
          <w:lang w:val="ru-RU"/>
        </w:rPr>
        <w:t>періоду</w:t>
      </w:r>
      <w:proofErr w:type="spellEnd"/>
      <w:r w:rsidR="00446939"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минулого</w:t>
      </w:r>
      <w:proofErr w:type="spellEnd"/>
      <w:r w:rsidRPr="00893155">
        <w:rPr>
          <w:sz w:val="28"/>
          <w:szCs w:val="20"/>
          <w:lang w:val="ru-RU"/>
        </w:rPr>
        <w:t xml:space="preserve"> року</w:t>
      </w:r>
      <w:r w:rsidR="001F08F0" w:rsidRPr="00893155">
        <w:rPr>
          <w:sz w:val="28"/>
          <w:szCs w:val="20"/>
          <w:lang w:val="ru-RU"/>
        </w:rPr>
        <w:t>;</w:t>
      </w:r>
    </w:p>
    <w:p w:rsidR="00492067" w:rsidRPr="00893155" w:rsidRDefault="00DC7BC0" w:rsidP="00893155">
      <w:pPr>
        <w:pStyle w:val="ae"/>
        <w:numPr>
          <w:ilvl w:val="0"/>
          <w:numId w:val="8"/>
        </w:numPr>
        <w:jc w:val="both"/>
        <w:rPr>
          <w:sz w:val="28"/>
          <w:szCs w:val="20"/>
          <w:lang w:val="ru-RU"/>
        </w:rPr>
      </w:pPr>
      <w:proofErr w:type="spellStart"/>
      <w:r w:rsidRPr="00893155">
        <w:rPr>
          <w:sz w:val="28"/>
          <w:szCs w:val="20"/>
          <w:lang w:val="ru-RU"/>
        </w:rPr>
        <w:lastRenderedPageBreak/>
        <w:t>грошових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стягнень</w:t>
      </w:r>
      <w:proofErr w:type="spellEnd"/>
      <w:r w:rsidRPr="00893155">
        <w:rPr>
          <w:sz w:val="28"/>
          <w:szCs w:val="20"/>
          <w:lang w:val="ru-RU"/>
        </w:rPr>
        <w:t xml:space="preserve"> за шкоду, </w:t>
      </w:r>
      <w:proofErr w:type="spellStart"/>
      <w:r w:rsidRPr="00893155">
        <w:rPr>
          <w:sz w:val="28"/>
          <w:szCs w:val="20"/>
          <w:lang w:val="ru-RU"/>
        </w:rPr>
        <w:t>заподіяну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порушенням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законодавства</w:t>
      </w:r>
      <w:proofErr w:type="spellEnd"/>
      <w:r w:rsidRPr="00893155">
        <w:rPr>
          <w:sz w:val="28"/>
          <w:szCs w:val="20"/>
          <w:lang w:val="ru-RU"/>
        </w:rPr>
        <w:t xml:space="preserve"> про </w:t>
      </w:r>
      <w:proofErr w:type="spellStart"/>
      <w:r w:rsidRPr="00893155">
        <w:rPr>
          <w:sz w:val="28"/>
          <w:szCs w:val="20"/>
          <w:lang w:val="ru-RU"/>
        </w:rPr>
        <w:t>охорону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навколишнього</w:t>
      </w:r>
      <w:proofErr w:type="spellEnd"/>
      <w:r w:rsidRPr="00893155">
        <w:rPr>
          <w:sz w:val="28"/>
          <w:szCs w:val="20"/>
          <w:lang w:val="ru-RU"/>
        </w:rPr>
        <w:t xml:space="preserve"> природного </w:t>
      </w:r>
      <w:proofErr w:type="spellStart"/>
      <w:r w:rsidRPr="00893155">
        <w:rPr>
          <w:sz w:val="28"/>
          <w:szCs w:val="20"/>
          <w:lang w:val="ru-RU"/>
        </w:rPr>
        <w:t>середовища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внаслідок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господарської</w:t>
      </w:r>
      <w:proofErr w:type="spellEnd"/>
      <w:r w:rsidRPr="00893155">
        <w:rPr>
          <w:sz w:val="28"/>
          <w:szCs w:val="20"/>
          <w:lang w:val="ru-RU"/>
        </w:rPr>
        <w:t xml:space="preserve"> та </w:t>
      </w:r>
      <w:proofErr w:type="spellStart"/>
      <w:r w:rsidRPr="00893155">
        <w:rPr>
          <w:sz w:val="28"/>
          <w:szCs w:val="20"/>
          <w:lang w:val="ru-RU"/>
        </w:rPr>
        <w:t>іншої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діяльності</w:t>
      </w:r>
      <w:proofErr w:type="spellEnd"/>
      <w:r w:rsidRPr="00893155">
        <w:rPr>
          <w:sz w:val="28"/>
          <w:szCs w:val="20"/>
          <w:lang w:val="ru-RU"/>
        </w:rPr>
        <w:t> </w:t>
      </w:r>
      <w:proofErr w:type="spellStart"/>
      <w:r w:rsidR="00B54FF2" w:rsidRPr="00893155">
        <w:rPr>
          <w:sz w:val="28"/>
          <w:szCs w:val="20"/>
          <w:lang w:val="ru-RU"/>
        </w:rPr>
        <w:t>надійшло</w:t>
      </w:r>
      <w:proofErr w:type="spellEnd"/>
      <w:r w:rsidR="00B54FF2" w:rsidRPr="00893155">
        <w:rPr>
          <w:sz w:val="28"/>
          <w:szCs w:val="20"/>
          <w:lang w:val="ru-RU"/>
        </w:rPr>
        <w:t xml:space="preserve"> 7</w:t>
      </w:r>
      <w:r w:rsidR="00932A85">
        <w:rPr>
          <w:sz w:val="28"/>
          <w:szCs w:val="20"/>
          <w:lang w:val="ru-RU"/>
        </w:rPr>
        <w:t>,3</w:t>
      </w:r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тис</w:t>
      </w:r>
      <w:proofErr w:type="gramStart"/>
      <w:r w:rsidRPr="00893155">
        <w:rPr>
          <w:sz w:val="28"/>
          <w:szCs w:val="20"/>
          <w:lang w:val="ru-RU"/>
        </w:rPr>
        <w:t>.г</w:t>
      </w:r>
      <w:proofErr w:type="gramEnd"/>
      <w:r w:rsidRPr="00893155">
        <w:rPr>
          <w:sz w:val="28"/>
          <w:szCs w:val="20"/>
          <w:lang w:val="ru-RU"/>
        </w:rPr>
        <w:t>ривень</w:t>
      </w:r>
      <w:proofErr w:type="spellEnd"/>
      <w:r w:rsidRPr="00893155">
        <w:rPr>
          <w:sz w:val="28"/>
          <w:szCs w:val="20"/>
          <w:lang w:val="ru-RU"/>
        </w:rPr>
        <w:t>.</w:t>
      </w:r>
    </w:p>
    <w:p w:rsidR="00492067" w:rsidRPr="00893155" w:rsidRDefault="00492067" w:rsidP="00893155">
      <w:pPr>
        <w:pStyle w:val="ae"/>
        <w:numPr>
          <w:ilvl w:val="0"/>
          <w:numId w:val="8"/>
        </w:numPr>
        <w:jc w:val="both"/>
        <w:rPr>
          <w:sz w:val="28"/>
          <w:szCs w:val="20"/>
          <w:lang w:val="ru-RU"/>
        </w:rPr>
      </w:pPr>
      <w:r w:rsidRPr="00893155">
        <w:rPr>
          <w:sz w:val="28"/>
          <w:szCs w:val="28"/>
        </w:rPr>
        <w:t xml:space="preserve">кошти від продажу  земельних ділянок несільськогосподарського призначення надійшли в сумі </w:t>
      </w:r>
      <w:r w:rsidR="00DC6A63">
        <w:rPr>
          <w:sz w:val="28"/>
          <w:szCs w:val="28"/>
        </w:rPr>
        <w:t>329,4</w:t>
      </w:r>
      <w:r w:rsidRPr="00893155">
        <w:rPr>
          <w:sz w:val="28"/>
          <w:szCs w:val="28"/>
        </w:rPr>
        <w:t xml:space="preserve"> </w:t>
      </w:r>
      <w:proofErr w:type="spellStart"/>
      <w:r w:rsidRPr="00893155">
        <w:rPr>
          <w:sz w:val="28"/>
          <w:szCs w:val="28"/>
        </w:rPr>
        <w:t>тис.гривень</w:t>
      </w:r>
      <w:proofErr w:type="spellEnd"/>
      <w:r w:rsidRPr="00893155">
        <w:rPr>
          <w:sz w:val="28"/>
          <w:szCs w:val="28"/>
        </w:rPr>
        <w:t>.</w:t>
      </w:r>
    </w:p>
    <w:p w:rsidR="00DD39BB" w:rsidRDefault="00B54FF2" w:rsidP="002E0DDE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r w:rsidR="00DD39BB">
        <w:rPr>
          <w:sz w:val="28"/>
          <w:szCs w:val="26"/>
        </w:rPr>
        <w:t>Земельні аукціони (конкурси) за відповідний період не проводились.</w:t>
      </w:r>
    </w:p>
    <w:p w:rsidR="00DD39BB" w:rsidRPr="002E0DDE" w:rsidRDefault="00DD39BB" w:rsidP="002E0DDE">
      <w:pPr>
        <w:jc w:val="both"/>
        <w:rPr>
          <w:sz w:val="20"/>
          <w:szCs w:val="20"/>
        </w:rPr>
      </w:pPr>
    </w:p>
    <w:p w:rsidR="00601F25" w:rsidRPr="00DD1881" w:rsidRDefault="00601F25" w:rsidP="002E0DDE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Структура доходів спеціального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</w:t>
      </w:r>
      <w:r w:rsidR="006528EE">
        <w:rPr>
          <w:color w:val="000000"/>
          <w:sz w:val="28"/>
          <w:szCs w:val="28"/>
        </w:rPr>
        <w:t>січень-</w:t>
      </w:r>
      <w:r w:rsidR="00907806">
        <w:rPr>
          <w:color w:val="000000"/>
          <w:sz w:val="28"/>
          <w:szCs w:val="28"/>
        </w:rPr>
        <w:t>грудень</w:t>
      </w:r>
      <w:r>
        <w:rPr>
          <w:color w:val="000000"/>
          <w:sz w:val="28"/>
          <w:szCs w:val="28"/>
        </w:rPr>
        <w:t xml:space="preserve"> 2021 року</w:t>
      </w:r>
    </w:p>
    <w:p w:rsidR="00DD1881" w:rsidRPr="00DD1881" w:rsidRDefault="00BD77E9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300FD800" wp14:editId="7FC45D76">
            <wp:extent cx="6110653" cy="5055577"/>
            <wp:effectExtent l="57150" t="38100" r="61595" b="692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93155" w:rsidRPr="009D52F6" w:rsidRDefault="007D7DB2" w:rsidP="00893155">
      <w:pPr>
        <w:jc w:val="both"/>
        <w:rPr>
          <w:sz w:val="28"/>
          <w:szCs w:val="28"/>
          <w:lang w:val="ru-RU"/>
        </w:rPr>
      </w:pPr>
      <w:r>
        <w:rPr>
          <w:sz w:val="28"/>
          <w:szCs w:val="20"/>
          <w:lang w:val="ru-RU"/>
        </w:rPr>
        <w:t xml:space="preserve">         </w:t>
      </w:r>
      <w:r w:rsidR="00022F83" w:rsidRPr="00955886">
        <w:rPr>
          <w:sz w:val="28"/>
          <w:szCs w:val="28"/>
        </w:rPr>
        <w:t xml:space="preserve"> </w:t>
      </w:r>
    </w:p>
    <w:p w:rsidR="00893155" w:rsidRPr="00893155" w:rsidRDefault="00B15174" w:rsidP="0089315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Видатки бюджету </w:t>
      </w:r>
      <w:proofErr w:type="spellStart"/>
      <w:r>
        <w:rPr>
          <w:sz w:val="28"/>
          <w:szCs w:val="28"/>
        </w:rPr>
        <w:t>Теофіпольської</w:t>
      </w:r>
      <w:proofErr w:type="spellEnd"/>
      <w:r>
        <w:rPr>
          <w:sz w:val="28"/>
          <w:szCs w:val="28"/>
        </w:rPr>
        <w:t xml:space="preserve"> селищної </w:t>
      </w:r>
      <w:r w:rsidR="001A68FA">
        <w:rPr>
          <w:sz w:val="28"/>
          <w:szCs w:val="28"/>
        </w:rPr>
        <w:t xml:space="preserve">територіальної громади </w:t>
      </w:r>
      <w:r w:rsidR="00191766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 xml:space="preserve">за </w:t>
      </w:r>
      <w:r w:rsidR="007030CB">
        <w:rPr>
          <w:sz w:val="28"/>
          <w:szCs w:val="28"/>
        </w:rPr>
        <w:t xml:space="preserve">січень - </w:t>
      </w:r>
      <w:r w:rsidR="00412849">
        <w:rPr>
          <w:sz w:val="28"/>
          <w:szCs w:val="28"/>
        </w:rPr>
        <w:t>гру</w:t>
      </w:r>
      <w:r w:rsidR="009D52F6">
        <w:rPr>
          <w:sz w:val="28"/>
          <w:szCs w:val="28"/>
        </w:rPr>
        <w:t>д</w:t>
      </w:r>
      <w:r w:rsidR="00412849">
        <w:rPr>
          <w:sz w:val="28"/>
          <w:szCs w:val="28"/>
        </w:rPr>
        <w:t>ень</w:t>
      </w:r>
      <w:r w:rsidR="00394989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>20</w:t>
      </w:r>
      <w:r w:rsidR="007030C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1054A" w:rsidRPr="00DF5422">
        <w:rPr>
          <w:sz w:val="28"/>
          <w:szCs w:val="28"/>
        </w:rPr>
        <w:t xml:space="preserve"> р</w:t>
      </w:r>
      <w:r w:rsidR="00394989" w:rsidRPr="00DF5422">
        <w:rPr>
          <w:sz w:val="28"/>
          <w:szCs w:val="28"/>
        </w:rPr>
        <w:t>оку</w:t>
      </w:r>
      <w:r w:rsidR="00C1054A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проведені в сумі</w:t>
      </w:r>
      <w:r w:rsidR="00394989" w:rsidRPr="00DF5422">
        <w:rPr>
          <w:sz w:val="28"/>
          <w:szCs w:val="28"/>
        </w:rPr>
        <w:t xml:space="preserve">  </w:t>
      </w:r>
      <w:r w:rsidR="00AF36CF">
        <w:rPr>
          <w:sz w:val="28"/>
          <w:szCs w:val="28"/>
        </w:rPr>
        <w:t>220 205,</w:t>
      </w:r>
      <w:r w:rsidR="008139D7">
        <w:rPr>
          <w:sz w:val="28"/>
          <w:szCs w:val="28"/>
        </w:rPr>
        <w:t>6</w:t>
      </w:r>
      <w:r w:rsidR="00AD2DD5">
        <w:rPr>
          <w:sz w:val="28"/>
          <w:szCs w:val="28"/>
        </w:rPr>
        <w:t xml:space="preserve"> </w:t>
      </w:r>
      <w:proofErr w:type="spellStart"/>
      <w:r w:rsidR="00AD2DD5">
        <w:rPr>
          <w:sz w:val="28"/>
          <w:szCs w:val="28"/>
        </w:rPr>
        <w:t>тис</w:t>
      </w:r>
      <w:r w:rsidR="00607669">
        <w:rPr>
          <w:sz w:val="28"/>
          <w:szCs w:val="28"/>
        </w:rPr>
        <w:t>.</w:t>
      </w:r>
      <w:r w:rsidR="00FB6246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 xml:space="preserve">, в тому числі на виплату заробітної плати  працівникам бюджетних установ з нарахуванням до обов’язкових фондів в сумі </w:t>
      </w:r>
      <w:r w:rsidR="003B4325">
        <w:rPr>
          <w:sz w:val="28"/>
          <w:szCs w:val="28"/>
        </w:rPr>
        <w:t>1</w:t>
      </w:r>
      <w:r w:rsidR="00AF36CF">
        <w:rPr>
          <w:sz w:val="28"/>
          <w:szCs w:val="28"/>
        </w:rPr>
        <w:t>78</w:t>
      </w:r>
      <w:r w:rsidR="003B4325">
        <w:rPr>
          <w:sz w:val="28"/>
          <w:szCs w:val="28"/>
        </w:rPr>
        <w:t> </w:t>
      </w:r>
      <w:r w:rsidR="00AF36CF">
        <w:rPr>
          <w:sz w:val="28"/>
          <w:szCs w:val="28"/>
        </w:rPr>
        <w:t>051</w:t>
      </w:r>
      <w:r w:rsidR="003B4325">
        <w:rPr>
          <w:sz w:val="28"/>
          <w:szCs w:val="28"/>
        </w:rPr>
        <w:t>,</w:t>
      </w:r>
      <w:r w:rsidR="00AF36CF">
        <w:rPr>
          <w:sz w:val="28"/>
          <w:szCs w:val="28"/>
        </w:rPr>
        <w:t>8</w:t>
      </w:r>
      <w:r w:rsidR="00191766" w:rsidRPr="00DF5422">
        <w:rPr>
          <w:sz w:val="28"/>
          <w:szCs w:val="28"/>
        </w:rPr>
        <w:t xml:space="preserve"> </w:t>
      </w:r>
      <w:proofErr w:type="spellStart"/>
      <w:r w:rsidR="00191766" w:rsidRPr="00DF5422">
        <w:rPr>
          <w:sz w:val="28"/>
          <w:szCs w:val="28"/>
        </w:rPr>
        <w:t>тис</w:t>
      </w:r>
      <w:r w:rsidR="00607669">
        <w:rPr>
          <w:sz w:val="28"/>
          <w:szCs w:val="28"/>
        </w:rPr>
        <w:t>.</w:t>
      </w:r>
      <w:r w:rsidR="00191766" w:rsidRPr="00DF5422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>,</w:t>
      </w:r>
      <w:r w:rsidR="00FC2E06">
        <w:rPr>
          <w:sz w:val="28"/>
          <w:szCs w:val="28"/>
        </w:rPr>
        <w:t xml:space="preserve"> оплату продуктів харчування в сумі </w:t>
      </w:r>
      <w:r w:rsidR="00077FBA">
        <w:rPr>
          <w:sz w:val="28"/>
          <w:szCs w:val="28"/>
        </w:rPr>
        <w:t>1 </w:t>
      </w:r>
      <w:r w:rsidR="00AF36CF">
        <w:rPr>
          <w:sz w:val="28"/>
          <w:szCs w:val="28"/>
        </w:rPr>
        <w:t>899</w:t>
      </w:r>
      <w:r w:rsidR="00077FBA">
        <w:rPr>
          <w:sz w:val="28"/>
          <w:szCs w:val="28"/>
        </w:rPr>
        <w:t>,</w:t>
      </w:r>
      <w:r w:rsidR="00AF36CF">
        <w:rPr>
          <w:sz w:val="28"/>
          <w:szCs w:val="28"/>
        </w:rPr>
        <w:t>9</w:t>
      </w:r>
      <w:r w:rsidR="00FC2E06">
        <w:rPr>
          <w:sz w:val="28"/>
          <w:szCs w:val="28"/>
        </w:rPr>
        <w:t xml:space="preserve"> </w:t>
      </w:r>
      <w:proofErr w:type="spellStart"/>
      <w:r w:rsidR="00FC2E06">
        <w:rPr>
          <w:sz w:val="28"/>
          <w:szCs w:val="28"/>
        </w:rPr>
        <w:t>тис</w:t>
      </w:r>
      <w:r w:rsidR="00607669">
        <w:rPr>
          <w:sz w:val="28"/>
          <w:szCs w:val="28"/>
        </w:rPr>
        <w:t>.</w:t>
      </w:r>
      <w:r w:rsidR="00FC2E06">
        <w:rPr>
          <w:sz w:val="28"/>
          <w:szCs w:val="28"/>
        </w:rPr>
        <w:t>грн</w:t>
      </w:r>
      <w:proofErr w:type="spellEnd"/>
      <w:r w:rsidR="00FC2E06">
        <w:rPr>
          <w:sz w:val="28"/>
          <w:szCs w:val="28"/>
        </w:rPr>
        <w:t>,</w:t>
      </w:r>
      <w:r w:rsidR="00191766" w:rsidRPr="00DF5422">
        <w:rPr>
          <w:sz w:val="28"/>
          <w:szCs w:val="28"/>
        </w:rPr>
        <w:t xml:space="preserve"> оплату вартості спожитих енергоносіїв в сумі </w:t>
      </w:r>
      <w:r w:rsidR="000040A3">
        <w:rPr>
          <w:sz w:val="28"/>
          <w:szCs w:val="28"/>
        </w:rPr>
        <w:t xml:space="preserve">                      </w:t>
      </w:r>
      <w:r w:rsidR="00976B03">
        <w:rPr>
          <w:sz w:val="28"/>
          <w:szCs w:val="28"/>
        </w:rPr>
        <w:t>19 337,9</w:t>
      </w:r>
      <w:r w:rsidR="00291F2D">
        <w:rPr>
          <w:sz w:val="28"/>
          <w:szCs w:val="28"/>
        </w:rPr>
        <w:t xml:space="preserve"> </w:t>
      </w:r>
      <w:proofErr w:type="spellStart"/>
      <w:r w:rsidR="00291F2D">
        <w:rPr>
          <w:sz w:val="28"/>
          <w:szCs w:val="28"/>
        </w:rPr>
        <w:t>тис</w:t>
      </w:r>
      <w:r w:rsidR="00607669">
        <w:rPr>
          <w:sz w:val="28"/>
          <w:szCs w:val="28"/>
        </w:rPr>
        <w:t>.</w:t>
      </w:r>
      <w:r w:rsidR="00191766" w:rsidRPr="00DF5422">
        <w:rPr>
          <w:sz w:val="28"/>
          <w:szCs w:val="28"/>
        </w:rPr>
        <w:t>гривень</w:t>
      </w:r>
      <w:proofErr w:type="spellEnd"/>
      <w:r w:rsidR="00191766" w:rsidRPr="00DF5422">
        <w:rPr>
          <w:sz w:val="28"/>
          <w:szCs w:val="28"/>
        </w:rPr>
        <w:t xml:space="preserve">. Заборгованість по захищених статтях станом на 1 </w:t>
      </w:r>
      <w:r w:rsidR="00412849">
        <w:rPr>
          <w:sz w:val="28"/>
          <w:szCs w:val="28"/>
        </w:rPr>
        <w:t>січ</w:t>
      </w:r>
      <w:r w:rsidR="009D52F6">
        <w:rPr>
          <w:sz w:val="28"/>
          <w:szCs w:val="28"/>
        </w:rPr>
        <w:t>ня</w:t>
      </w:r>
      <w:r w:rsidR="00EC2D5A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20</w:t>
      </w:r>
      <w:r w:rsidR="00EF1056">
        <w:rPr>
          <w:sz w:val="28"/>
          <w:szCs w:val="28"/>
        </w:rPr>
        <w:t>2</w:t>
      </w:r>
      <w:r w:rsidR="00412849">
        <w:rPr>
          <w:sz w:val="28"/>
          <w:szCs w:val="28"/>
        </w:rPr>
        <w:t>2</w:t>
      </w:r>
      <w:r w:rsidR="00191766" w:rsidRPr="00DF5422">
        <w:rPr>
          <w:sz w:val="28"/>
          <w:szCs w:val="28"/>
        </w:rPr>
        <w:t xml:space="preserve"> року відсутня.</w:t>
      </w:r>
    </w:p>
    <w:p w:rsidR="00893155" w:rsidRPr="00893155" w:rsidRDefault="00893155" w:rsidP="00893155">
      <w:pPr>
        <w:ind w:firstLine="708"/>
        <w:jc w:val="both"/>
        <w:rPr>
          <w:sz w:val="28"/>
          <w:szCs w:val="28"/>
          <w:lang w:val="ru-RU"/>
        </w:rPr>
      </w:pPr>
    </w:p>
    <w:p w:rsidR="00601F25" w:rsidRDefault="00AD2DD5" w:rsidP="008931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Найбільшу питому вагу у проведених видатках складають видатки на оплату праці з нарахуваннями,</w:t>
      </w:r>
      <w:r w:rsidR="001A566B" w:rsidRPr="001A56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що становить </w:t>
      </w:r>
      <w:r w:rsidR="00A36314" w:rsidRPr="001F7A41">
        <w:rPr>
          <w:sz w:val="28"/>
          <w:szCs w:val="28"/>
        </w:rPr>
        <w:t>8</w:t>
      </w:r>
      <w:r w:rsidR="00AF36CF">
        <w:rPr>
          <w:sz w:val="28"/>
          <w:szCs w:val="28"/>
        </w:rPr>
        <w:t>0</w:t>
      </w:r>
      <w:r w:rsidR="00FD0B30">
        <w:rPr>
          <w:sz w:val="28"/>
          <w:szCs w:val="28"/>
        </w:rPr>
        <w:t>,</w:t>
      </w:r>
      <w:r w:rsidR="00AF36CF">
        <w:rPr>
          <w:sz w:val="28"/>
          <w:szCs w:val="28"/>
        </w:rPr>
        <w:t>9</w:t>
      </w:r>
      <w:r w:rsidRPr="001F7A41">
        <w:rPr>
          <w:sz w:val="28"/>
          <w:szCs w:val="28"/>
        </w:rPr>
        <w:t>%.</w:t>
      </w:r>
      <w:r w:rsidR="00601F25">
        <w:rPr>
          <w:sz w:val="28"/>
          <w:szCs w:val="28"/>
        </w:rPr>
        <w:br w:type="page"/>
      </w:r>
    </w:p>
    <w:p w:rsidR="00601F25" w:rsidRDefault="00601F25" w:rsidP="00CC0A40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економічною класифікацією</w:t>
      </w:r>
    </w:p>
    <w:p w:rsidR="00601F25" w:rsidRDefault="00463703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</w:t>
      </w:r>
      <w:r>
        <w:rPr>
          <w:color w:val="000000"/>
          <w:sz w:val="28"/>
          <w:szCs w:val="28"/>
        </w:rPr>
        <w:t xml:space="preserve"> </w:t>
      </w:r>
      <w:r w:rsidR="00601F2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412849">
        <w:rPr>
          <w:color w:val="000000"/>
          <w:sz w:val="28"/>
          <w:szCs w:val="28"/>
        </w:rPr>
        <w:t>гру</w:t>
      </w:r>
      <w:r w:rsidR="007A0F5F">
        <w:rPr>
          <w:color w:val="000000"/>
          <w:sz w:val="28"/>
          <w:szCs w:val="28"/>
        </w:rPr>
        <w:t>д</w:t>
      </w:r>
      <w:r w:rsidR="00412849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AD2DD5" w:rsidRDefault="00786E4B" w:rsidP="00F27734">
      <w:pPr>
        <w:tabs>
          <w:tab w:val="left" w:pos="1080"/>
        </w:tabs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2D7FD1C4" wp14:editId="1B9F0B72">
            <wp:extent cx="6119446" cy="4158761"/>
            <wp:effectExtent l="57150" t="38100" r="53340" b="7048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F25" w:rsidRDefault="00191766" w:rsidP="00191766">
      <w:pPr>
        <w:tabs>
          <w:tab w:val="left" w:pos="1080"/>
        </w:tabs>
        <w:jc w:val="both"/>
        <w:rPr>
          <w:sz w:val="28"/>
          <w:szCs w:val="28"/>
        </w:rPr>
      </w:pPr>
      <w:r w:rsidRPr="00DF5422">
        <w:rPr>
          <w:sz w:val="28"/>
          <w:szCs w:val="28"/>
        </w:rPr>
        <w:t xml:space="preserve">      </w:t>
      </w:r>
    </w:p>
    <w:p w:rsidR="0013413C" w:rsidRDefault="00601F2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191766" w:rsidRPr="00DF5422">
        <w:rPr>
          <w:sz w:val="28"/>
          <w:szCs w:val="28"/>
        </w:rPr>
        <w:t xml:space="preserve"> Видатки галузей соціально</w:t>
      </w:r>
      <w:r w:rsidR="00D540A6">
        <w:rPr>
          <w:sz w:val="28"/>
          <w:szCs w:val="28"/>
        </w:rPr>
        <w:t>-</w:t>
      </w:r>
      <w:r w:rsidR="00014B32">
        <w:rPr>
          <w:sz w:val="28"/>
          <w:szCs w:val="28"/>
        </w:rPr>
        <w:t xml:space="preserve">культурної сфери </w:t>
      </w:r>
      <w:proofErr w:type="spellStart"/>
      <w:r w:rsidR="00014B32">
        <w:rPr>
          <w:sz w:val="28"/>
          <w:szCs w:val="28"/>
        </w:rPr>
        <w:t>Теофіпольської</w:t>
      </w:r>
      <w:proofErr w:type="spellEnd"/>
      <w:r w:rsidR="00191766" w:rsidRPr="00DF5422">
        <w:rPr>
          <w:sz w:val="28"/>
          <w:szCs w:val="28"/>
        </w:rPr>
        <w:t xml:space="preserve"> </w:t>
      </w:r>
      <w:r w:rsidR="00014B32">
        <w:rPr>
          <w:sz w:val="28"/>
          <w:szCs w:val="28"/>
        </w:rPr>
        <w:t>селищної ради</w:t>
      </w:r>
      <w:r w:rsidR="00191766" w:rsidRPr="00DF5422">
        <w:rPr>
          <w:sz w:val="28"/>
          <w:szCs w:val="28"/>
        </w:rPr>
        <w:t xml:space="preserve"> за результатами </w:t>
      </w:r>
      <w:r w:rsidR="007B2F34" w:rsidRPr="00DF5422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>січня</w:t>
      </w:r>
      <w:r w:rsidR="00D540A6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>-</w:t>
      </w:r>
      <w:r w:rsidR="00D540A6">
        <w:rPr>
          <w:sz w:val="28"/>
          <w:szCs w:val="28"/>
        </w:rPr>
        <w:t xml:space="preserve"> </w:t>
      </w:r>
      <w:r w:rsidR="00412849">
        <w:rPr>
          <w:sz w:val="28"/>
          <w:szCs w:val="28"/>
        </w:rPr>
        <w:t>гру</w:t>
      </w:r>
      <w:r w:rsidR="009D52F6">
        <w:rPr>
          <w:sz w:val="28"/>
          <w:szCs w:val="28"/>
        </w:rPr>
        <w:t>д</w:t>
      </w:r>
      <w:r w:rsidR="00412849">
        <w:rPr>
          <w:sz w:val="28"/>
          <w:szCs w:val="28"/>
        </w:rPr>
        <w:t>ня</w:t>
      </w:r>
      <w:r w:rsidR="007B2F34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20</w:t>
      </w:r>
      <w:r w:rsidR="00CA539E">
        <w:rPr>
          <w:sz w:val="28"/>
          <w:szCs w:val="28"/>
        </w:rPr>
        <w:t>2</w:t>
      </w:r>
      <w:r w:rsidR="00B15174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 характеризуються такими показниками</w:t>
      </w:r>
      <w:r w:rsidR="00191766" w:rsidRPr="00DF5422">
        <w:rPr>
          <w:sz w:val="28"/>
          <w:szCs w:val="28"/>
          <w:lang w:val="ru-RU"/>
        </w:rPr>
        <w:t>:</w:t>
      </w:r>
    </w:p>
    <w:p w:rsidR="00F32E35" w:rsidRPr="00DF5422" w:rsidRDefault="00F32E3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560"/>
        <w:gridCol w:w="1985"/>
        <w:gridCol w:w="1559"/>
      </w:tblGrid>
      <w:tr w:rsidR="007B2F34" w:rsidRPr="00DF5422" w:rsidTr="009B371F">
        <w:trPr>
          <w:trHeight w:val="1558"/>
        </w:trPr>
        <w:tc>
          <w:tcPr>
            <w:tcW w:w="3261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Галузь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Затверджено на рік з урахуванням змін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2F34" w:rsidRPr="00DF5422" w:rsidRDefault="007B2F34" w:rsidP="00412849">
            <w:pPr>
              <w:jc w:val="center"/>
              <w:rPr>
                <w:sz w:val="28"/>
                <w:szCs w:val="28"/>
              </w:rPr>
            </w:pPr>
            <w:r w:rsidRPr="00DF5422">
              <w:t xml:space="preserve">Касові видатки за </w:t>
            </w:r>
            <w:r w:rsidR="00CA539E">
              <w:t xml:space="preserve">січень - </w:t>
            </w:r>
            <w:r w:rsidR="00412849">
              <w:t>гру</w:t>
            </w:r>
            <w:r w:rsidR="009D52F6">
              <w:t>д</w:t>
            </w:r>
            <w:r w:rsidR="00412849">
              <w:t>ень</w:t>
            </w:r>
            <w:r w:rsidR="00CA539E" w:rsidRPr="00DF5422">
              <w:t xml:space="preserve"> 20</w:t>
            </w:r>
            <w:r w:rsidR="00CA539E">
              <w:t>2</w:t>
            </w:r>
            <w:r w:rsidR="00B15174">
              <w:t>1</w:t>
            </w:r>
            <w:r w:rsidR="00CA539E" w:rsidRPr="00DF5422">
              <w:t xml:space="preserve"> року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Відхилення до плану на рік з урахуванням змін</w:t>
            </w:r>
          </w:p>
          <w:p w:rsidR="007B2F34" w:rsidRPr="00DF5422" w:rsidRDefault="007B2F34" w:rsidP="00870FF6">
            <w:pPr>
              <w:jc w:val="center"/>
            </w:pPr>
            <w:r w:rsidRPr="00DF5422">
              <w:t>(к.2-к.1)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470B01" w:rsidRDefault="007B2F34" w:rsidP="00870FF6">
            <w:pPr>
              <w:jc w:val="center"/>
            </w:pPr>
            <w:r w:rsidRPr="00470B01">
              <w:t>% виконання до плану з урахуванням змін  (к.2/к.1)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91766" w:rsidRPr="00470B01" w:rsidRDefault="00191766" w:rsidP="005F17C0">
            <w:pPr>
              <w:jc w:val="center"/>
            </w:pPr>
            <w:r w:rsidRPr="00470B01">
              <w:t>4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5E12F6" w:rsidP="005E12F6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Державне у</w:t>
            </w:r>
            <w:r w:rsidR="00191766" w:rsidRPr="00DF5422">
              <w:rPr>
                <w:sz w:val="28"/>
                <w:szCs w:val="28"/>
              </w:rPr>
              <w:t>правління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03962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30 9</w:t>
            </w:r>
            <w:r w:rsidR="00267F3B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267F3B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30 862</w:t>
            </w:r>
            <w:r w:rsidR="008F736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FB6246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67F3B">
              <w:rPr>
                <w:sz w:val="28"/>
                <w:szCs w:val="28"/>
              </w:rPr>
              <w:t>7</w:t>
            </w:r>
            <w:r w:rsidR="009D46B2">
              <w:rPr>
                <w:sz w:val="28"/>
                <w:szCs w:val="28"/>
              </w:rPr>
              <w:t>5</w:t>
            </w:r>
            <w:r w:rsidR="00902B00"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267F3B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902B0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Освіта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B6246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478F">
              <w:rPr>
                <w:sz w:val="28"/>
                <w:szCs w:val="28"/>
              </w:rPr>
              <w:t>5</w:t>
            </w:r>
            <w:r w:rsidR="00BD6471">
              <w:rPr>
                <w:sz w:val="28"/>
                <w:szCs w:val="28"/>
              </w:rPr>
              <w:t>9</w:t>
            </w:r>
            <w:r w:rsidR="000E38E3">
              <w:rPr>
                <w:sz w:val="28"/>
                <w:szCs w:val="28"/>
              </w:rPr>
              <w:t xml:space="preserve"> </w:t>
            </w:r>
            <w:r w:rsidR="00267F3B">
              <w:rPr>
                <w:sz w:val="28"/>
                <w:szCs w:val="28"/>
              </w:rPr>
              <w:t>2</w:t>
            </w:r>
            <w:r w:rsidR="009D46B2">
              <w:rPr>
                <w:sz w:val="28"/>
                <w:szCs w:val="28"/>
              </w:rPr>
              <w:t>1</w:t>
            </w:r>
            <w:r w:rsidR="00267F3B">
              <w:rPr>
                <w:sz w:val="28"/>
                <w:szCs w:val="28"/>
              </w:rPr>
              <w:t>0</w:t>
            </w:r>
            <w:r w:rsidR="00902B00"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902B00" w:rsidP="00813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7F3B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</w:t>
            </w:r>
            <w:r w:rsidR="00267F3B">
              <w:rPr>
                <w:sz w:val="28"/>
                <w:szCs w:val="28"/>
              </w:rPr>
              <w:t>869</w:t>
            </w:r>
            <w:r>
              <w:rPr>
                <w:sz w:val="28"/>
                <w:szCs w:val="28"/>
              </w:rPr>
              <w:t>,</w:t>
            </w:r>
            <w:r w:rsidR="008139D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813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67F3B">
              <w:rPr>
                <w:sz w:val="28"/>
                <w:szCs w:val="28"/>
              </w:rPr>
              <w:t>3 3</w:t>
            </w:r>
            <w:r w:rsidR="00202174">
              <w:rPr>
                <w:sz w:val="28"/>
                <w:szCs w:val="28"/>
              </w:rPr>
              <w:t>41</w:t>
            </w:r>
            <w:r w:rsidR="00902B00">
              <w:rPr>
                <w:sz w:val="28"/>
                <w:szCs w:val="28"/>
              </w:rPr>
              <w:t>,</w:t>
            </w:r>
            <w:r w:rsidR="008139D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267F3B" w:rsidP="00202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02174">
              <w:rPr>
                <w:sz w:val="28"/>
                <w:szCs w:val="28"/>
              </w:rPr>
              <w:t>7</w:t>
            </w:r>
            <w:r w:rsidR="009D46B2">
              <w:rPr>
                <w:sz w:val="28"/>
                <w:szCs w:val="28"/>
              </w:rPr>
              <w:t>,</w:t>
            </w:r>
            <w:r w:rsidR="00202174">
              <w:rPr>
                <w:sz w:val="28"/>
                <w:szCs w:val="28"/>
              </w:rPr>
              <w:t>9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Охорона здоров</w:t>
            </w:r>
            <w:r w:rsidRPr="00DF5422">
              <w:rPr>
                <w:sz w:val="28"/>
                <w:szCs w:val="28"/>
                <w:lang w:val="en-US"/>
              </w:rPr>
              <w:t>’</w:t>
            </w:r>
            <w:r w:rsidRPr="00DF5422"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B13D4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3D03">
              <w:rPr>
                <w:sz w:val="28"/>
                <w:szCs w:val="28"/>
              </w:rPr>
              <w:t> </w:t>
            </w:r>
            <w:r w:rsidR="00267F3B">
              <w:rPr>
                <w:sz w:val="28"/>
                <w:szCs w:val="28"/>
              </w:rPr>
              <w:t>855</w:t>
            </w:r>
            <w:r w:rsidR="00483D03"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267F3B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</w:t>
            </w:r>
            <w:r w:rsidR="000D350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67,3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202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67F3B">
              <w:rPr>
                <w:sz w:val="28"/>
                <w:szCs w:val="28"/>
              </w:rPr>
              <w:t>287</w:t>
            </w:r>
            <w:r w:rsidR="001F2962">
              <w:rPr>
                <w:sz w:val="28"/>
                <w:szCs w:val="28"/>
              </w:rPr>
              <w:t>,</w:t>
            </w:r>
            <w:r w:rsidR="00202174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267F3B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483D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Культура</w:t>
            </w:r>
            <w:r w:rsidR="00DB08A0" w:rsidRPr="00DF5422">
              <w:rPr>
                <w:sz w:val="28"/>
                <w:szCs w:val="28"/>
              </w:rPr>
              <w:t xml:space="preserve"> і мистецтво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5535B4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</w:t>
            </w:r>
            <w:r w:rsidR="00267F3B">
              <w:rPr>
                <w:sz w:val="28"/>
                <w:szCs w:val="28"/>
              </w:rPr>
              <w:t>75</w:t>
            </w:r>
            <w:r w:rsidR="009D46B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267F3B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3962">
              <w:rPr>
                <w:sz w:val="28"/>
                <w:szCs w:val="28"/>
              </w:rPr>
              <w:t> </w:t>
            </w:r>
            <w:r w:rsidR="009D46B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  <w:r w:rsidR="009D46B2">
              <w:rPr>
                <w:sz w:val="28"/>
                <w:szCs w:val="28"/>
              </w:rPr>
              <w:t>0</w:t>
            </w:r>
            <w:r w:rsidR="0010396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67F3B">
              <w:rPr>
                <w:sz w:val="28"/>
                <w:szCs w:val="28"/>
              </w:rPr>
              <w:t>63</w:t>
            </w:r>
            <w:r w:rsidR="00483D03"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9D46B2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7F3B">
              <w:rPr>
                <w:sz w:val="28"/>
                <w:szCs w:val="28"/>
              </w:rPr>
              <w:t>9</w:t>
            </w:r>
            <w:r w:rsidR="0082759E"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3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Фізична культура і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28B" w:rsidRPr="00DF5422" w:rsidRDefault="005535B4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7F3B">
              <w:rPr>
                <w:sz w:val="28"/>
                <w:szCs w:val="28"/>
              </w:rPr>
              <w:t xml:space="preserve"> 69</w:t>
            </w:r>
            <w:r w:rsidR="00103962">
              <w:rPr>
                <w:sz w:val="28"/>
                <w:szCs w:val="28"/>
              </w:rPr>
              <w:t>0</w:t>
            </w:r>
            <w:r w:rsidR="00483D03"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628B" w:rsidRPr="00DF5422" w:rsidRDefault="00103962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267F3B">
              <w:rPr>
                <w:sz w:val="28"/>
                <w:szCs w:val="28"/>
              </w:rPr>
              <w:t>647</w:t>
            </w:r>
            <w:r w:rsidR="00483D03"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28B" w:rsidRPr="00DF5422" w:rsidRDefault="00CA539E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67F3B">
              <w:rPr>
                <w:sz w:val="28"/>
                <w:szCs w:val="28"/>
              </w:rPr>
              <w:t>4</w:t>
            </w:r>
            <w:r w:rsidR="009D46B2">
              <w:rPr>
                <w:sz w:val="28"/>
                <w:szCs w:val="28"/>
              </w:rPr>
              <w:t>3</w:t>
            </w:r>
            <w:r w:rsidR="00483D03"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9D46B2" w:rsidP="0026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7F3B">
              <w:rPr>
                <w:sz w:val="28"/>
                <w:szCs w:val="28"/>
              </w:rPr>
              <w:t>8</w:t>
            </w:r>
            <w:r w:rsidR="00483D03">
              <w:rPr>
                <w:sz w:val="28"/>
                <w:szCs w:val="28"/>
              </w:rPr>
              <w:t>,</w:t>
            </w:r>
            <w:r w:rsidR="00267F3B"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B17BC8">
        <w:trPr>
          <w:trHeight w:val="732"/>
        </w:trPr>
        <w:tc>
          <w:tcPr>
            <w:tcW w:w="3261" w:type="dxa"/>
            <w:shd w:val="clear" w:color="auto" w:fill="auto"/>
          </w:tcPr>
          <w:p w:rsidR="00191766" w:rsidRPr="00DF5422" w:rsidRDefault="00191766" w:rsidP="001C77CB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Соціальний захист</w:t>
            </w:r>
            <w:r w:rsidR="005E12F6" w:rsidRPr="00DF5422">
              <w:rPr>
                <w:sz w:val="28"/>
                <w:szCs w:val="28"/>
              </w:rPr>
              <w:t xml:space="preserve"> та соціальне забезпечен</w:t>
            </w:r>
            <w:r w:rsidR="001C77CB" w:rsidRPr="00DF5422">
              <w:rPr>
                <w:sz w:val="28"/>
                <w:szCs w:val="28"/>
              </w:rPr>
              <w:t>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BD6471" w:rsidP="00BD6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03962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>56</w:t>
            </w:r>
            <w:r w:rsidR="00F26A9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BD6471" w:rsidP="00BD6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D46B2">
              <w:rPr>
                <w:sz w:val="28"/>
                <w:szCs w:val="28"/>
              </w:rPr>
              <w:t> 6</w:t>
            </w:r>
            <w:r>
              <w:rPr>
                <w:sz w:val="28"/>
                <w:szCs w:val="28"/>
              </w:rPr>
              <w:t>56</w:t>
            </w:r>
            <w:r w:rsidR="009D46B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BD6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D6471">
              <w:rPr>
                <w:sz w:val="28"/>
                <w:szCs w:val="28"/>
              </w:rPr>
              <w:t>0</w:t>
            </w:r>
            <w:r w:rsidR="00483D03">
              <w:rPr>
                <w:sz w:val="28"/>
                <w:szCs w:val="28"/>
              </w:rPr>
              <w:t>,</w:t>
            </w:r>
            <w:r w:rsidR="00BD647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BD6471" w:rsidP="00BD6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483D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Інші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9D46B2" w:rsidP="00BD6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</w:t>
            </w:r>
            <w:r w:rsidR="00BD6471">
              <w:rPr>
                <w:sz w:val="28"/>
                <w:szCs w:val="28"/>
              </w:rPr>
              <w:t>935</w:t>
            </w:r>
            <w:r>
              <w:rPr>
                <w:sz w:val="28"/>
                <w:szCs w:val="28"/>
              </w:rPr>
              <w:t>,</w:t>
            </w:r>
            <w:r w:rsidR="00BD6471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BD6471" w:rsidP="00BD6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D1608">
              <w:rPr>
                <w:sz w:val="28"/>
                <w:szCs w:val="28"/>
              </w:rPr>
              <w:t> 91</w:t>
            </w:r>
            <w:r>
              <w:rPr>
                <w:sz w:val="28"/>
                <w:szCs w:val="28"/>
              </w:rPr>
              <w:t>2</w:t>
            </w:r>
            <w:r w:rsidR="000D1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BD6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D6471">
              <w:rPr>
                <w:sz w:val="28"/>
                <w:szCs w:val="28"/>
              </w:rPr>
              <w:t>22</w:t>
            </w:r>
            <w:r w:rsidR="000D1608">
              <w:rPr>
                <w:sz w:val="28"/>
                <w:szCs w:val="28"/>
              </w:rPr>
              <w:t>,</w:t>
            </w:r>
            <w:r w:rsidR="00BD6471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BD6471" w:rsidP="00BD6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0D1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b/>
                <w:sz w:val="28"/>
                <w:szCs w:val="28"/>
              </w:rPr>
            </w:pPr>
            <w:r w:rsidRPr="00DF5422">
              <w:rPr>
                <w:b/>
                <w:sz w:val="28"/>
                <w:szCs w:val="28"/>
              </w:rPr>
              <w:t>Всього по зведеному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628" w:rsidRPr="00DF5422" w:rsidRDefault="009D46B2" w:rsidP="00BD6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BD647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 </w:t>
            </w:r>
            <w:r w:rsidR="00BD6471">
              <w:rPr>
                <w:b/>
                <w:sz w:val="28"/>
                <w:szCs w:val="28"/>
              </w:rPr>
              <w:t>041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6628" w:rsidRPr="00DF5422" w:rsidRDefault="00BD6471" w:rsidP="008139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220 205</w:t>
            </w:r>
            <w:r w:rsidR="00483D03">
              <w:rPr>
                <w:b/>
                <w:sz w:val="28"/>
                <w:szCs w:val="28"/>
              </w:rPr>
              <w:t>,</w:t>
            </w:r>
            <w:r w:rsidR="008139D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6628" w:rsidRPr="00DF5422" w:rsidRDefault="000D1608" w:rsidP="008139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BD6471">
              <w:rPr>
                <w:b/>
                <w:sz w:val="28"/>
                <w:szCs w:val="28"/>
              </w:rPr>
              <w:t>3 83</w:t>
            </w:r>
            <w:r w:rsidR="00202174">
              <w:rPr>
                <w:b/>
                <w:sz w:val="28"/>
                <w:szCs w:val="28"/>
              </w:rPr>
              <w:t>5</w:t>
            </w:r>
            <w:r w:rsidR="00BD6471">
              <w:rPr>
                <w:b/>
                <w:sz w:val="28"/>
                <w:szCs w:val="28"/>
              </w:rPr>
              <w:t>,</w:t>
            </w:r>
            <w:r w:rsidR="008139D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470B01" w:rsidRDefault="00BD6471" w:rsidP="00BD6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2D5EFE">
              <w:rPr>
                <w:b/>
                <w:sz w:val="28"/>
                <w:szCs w:val="28"/>
              </w:rPr>
              <w:t>8</w:t>
            </w:r>
            <w:r w:rsidR="001F2962">
              <w:rPr>
                <w:b/>
                <w:sz w:val="28"/>
                <w:szCs w:val="28"/>
              </w:rPr>
              <w:t>,</w:t>
            </w:r>
            <w:r w:rsidR="002D5EFE">
              <w:rPr>
                <w:b/>
                <w:sz w:val="28"/>
                <w:szCs w:val="28"/>
              </w:rPr>
              <w:t>3</w:t>
            </w:r>
            <w:r w:rsidR="00191766" w:rsidRPr="00470B01">
              <w:rPr>
                <w:b/>
                <w:sz w:val="28"/>
                <w:szCs w:val="28"/>
              </w:rPr>
              <w:t xml:space="preserve"> %</w:t>
            </w:r>
          </w:p>
        </w:tc>
      </w:tr>
    </w:tbl>
    <w:p w:rsidR="00601F25" w:rsidRDefault="00601F25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601F25" w:rsidP="00773EA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галузевою ознакою</w:t>
      </w:r>
    </w:p>
    <w:p w:rsidR="00601F25" w:rsidRDefault="00463703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</w:t>
      </w:r>
      <w:r>
        <w:rPr>
          <w:color w:val="000000"/>
          <w:sz w:val="28"/>
          <w:szCs w:val="28"/>
        </w:rPr>
        <w:t xml:space="preserve"> </w:t>
      </w:r>
      <w:r w:rsidR="00601F2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412849">
        <w:rPr>
          <w:color w:val="000000"/>
          <w:sz w:val="28"/>
          <w:szCs w:val="28"/>
        </w:rPr>
        <w:t>гру</w:t>
      </w:r>
      <w:r w:rsidR="009D52F6">
        <w:rPr>
          <w:color w:val="000000"/>
          <w:sz w:val="28"/>
          <w:szCs w:val="28"/>
        </w:rPr>
        <w:t>д</w:t>
      </w:r>
      <w:r w:rsidR="00412849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F32E35" w:rsidRDefault="00F32E35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</w:p>
    <w:p w:rsidR="00E43A40" w:rsidRDefault="00A47254" w:rsidP="009B371F">
      <w:pPr>
        <w:tabs>
          <w:tab w:val="left" w:pos="1080"/>
        </w:tabs>
        <w:ind w:left="-567" w:right="-424" w:hanging="142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3F86D394" wp14:editId="326FB354">
            <wp:extent cx="6119495" cy="3929134"/>
            <wp:effectExtent l="57150" t="38100" r="52705" b="717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3A40" w:rsidRDefault="00E43A40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8F2E6B" w:rsidRPr="006C02B3" w:rsidRDefault="00F92D8C" w:rsidP="002659CA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</w:t>
      </w:r>
      <w:r w:rsidR="00E43A40" w:rsidRPr="006C02B3">
        <w:rPr>
          <w:sz w:val="28"/>
          <w:szCs w:val="28"/>
        </w:rPr>
        <w:t xml:space="preserve">Залишки коштів на рахунках бюджету </w:t>
      </w:r>
      <w:proofErr w:type="spellStart"/>
      <w:r w:rsidR="00F21554" w:rsidRPr="006C02B3">
        <w:rPr>
          <w:sz w:val="28"/>
          <w:szCs w:val="28"/>
        </w:rPr>
        <w:t>Теофіпольської</w:t>
      </w:r>
      <w:proofErr w:type="spellEnd"/>
      <w:r w:rsidR="00F21554" w:rsidRPr="006C02B3">
        <w:rPr>
          <w:sz w:val="28"/>
          <w:szCs w:val="28"/>
        </w:rPr>
        <w:t xml:space="preserve">  селищної територіальної громади станом на 01 </w:t>
      </w:r>
      <w:r w:rsidR="00412849">
        <w:rPr>
          <w:sz w:val="28"/>
          <w:szCs w:val="28"/>
        </w:rPr>
        <w:t>січн</w:t>
      </w:r>
      <w:r w:rsidR="009D52F6">
        <w:rPr>
          <w:sz w:val="28"/>
          <w:szCs w:val="28"/>
        </w:rPr>
        <w:t>я</w:t>
      </w:r>
      <w:r w:rsidR="00412849">
        <w:rPr>
          <w:sz w:val="28"/>
          <w:szCs w:val="28"/>
        </w:rPr>
        <w:t xml:space="preserve"> 2022</w:t>
      </w:r>
      <w:r w:rsidR="00F21554" w:rsidRPr="006C02B3">
        <w:rPr>
          <w:sz w:val="28"/>
          <w:szCs w:val="28"/>
        </w:rPr>
        <w:t xml:space="preserve"> року </w:t>
      </w:r>
      <w:r w:rsidR="00E43A40" w:rsidRPr="006C02B3">
        <w:rPr>
          <w:sz w:val="28"/>
          <w:szCs w:val="28"/>
        </w:rPr>
        <w:t>становлять</w:t>
      </w:r>
      <w:r w:rsidR="00E43A40" w:rsidRPr="006C02B3">
        <w:rPr>
          <w:sz w:val="28"/>
          <w:szCs w:val="28"/>
          <w:lang w:val="ru-RU"/>
        </w:rPr>
        <w:t>:</w:t>
      </w:r>
    </w:p>
    <w:p w:rsidR="00E43A40" w:rsidRPr="006C02B3" w:rsidRDefault="008F2E6B" w:rsidP="00B97B03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3D49D5" w:rsidRPr="006C02B3">
        <w:rPr>
          <w:sz w:val="28"/>
          <w:szCs w:val="28"/>
        </w:rPr>
        <w:t>грн.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559"/>
        <w:gridCol w:w="1843"/>
        <w:gridCol w:w="1843"/>
        <w:gridCol w:w="1700"/>
      </w:tblGrid>
      <w:tr w:rsidR="00E43A40" w:rsidRPr="006C02B3" w:rsidTr="00DE0CAA">
        <w:trPr>
          <w:trHeight w:val="501"/>
          <w:tblHeader/>
        </w:trPr>
        <w:tc>
          <w:tcPr>
            <w:tcW w:w="340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2904C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Рахунок</w:t>
            </w:r>
          </w:p>
        </w:tc>
        <w:tc>
          <w:tcPr>
            <w:tcW w:w="1559" w:type="dxa"/>
            <w:shd w:val="clear" w:color="auto" w:fill="auto"/>
          </w:tcPr>
          <w:p w:rsidR="002E0DDE" w:rsidRDefault="00E43A40" w:rsidP="002E0DDE">
            <w:p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</w:t>
            </w: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  <w:lang w:val="ru-RU"/>
              </w:rPr>
              <w:t xml:space="preserve">01 </w:t>
            </w:r>
            <w:r w:rsidRPr="006C02B3">
              <w:rPr>
                <w:sz w:val="26"/>
                <w:szCs w:val="26"/>
              </w:rPr>
              <w:t>січня  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412849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Надійшло коштів протягом січня</w:t>
            </w:r>
            <w:r w:rsidR="001F7A41">
              <w:rPr>
                <w:sz w:val="26"/>
                <w:szCs w:val="26"/>
              </w:rPr>
              <w:t>-</w:t>
            </w:r>
            <w:r w:rsidR="007F1018">
              <w:rPr>
                <w:sz w:val="26"/>
                <w:szCs w:val="26"/>
              </w:rPr>
              <w:t>груд</w:t>
            </w:r>
            <w:r w:rsidR="00412849">
              <w:rPr>
                <w:sz w:val="26"/>
                <w:szCs w:val="26"/>
              </w:rPr>
              <w:t>ня</w:t>
            </w:r>
            <w:r w:rsidR="003F2117">
              <w:rPr>
                <w:sz w:val="26"/>
                <w:szCs w:val="26"/>
              </w:rPr>
              <w:t xml:space="preserve"> </w:t>
            </w:r>
            <w:r w:rsidRPr="006C02B3">
              <w:rPr>
                <w:sz w:val="26"/>
                <w:szCs w:val="26"/>
              </w:rPr>
              <w:t>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412849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Проведено фінансування протягом січня</w:t>
            </w:r>
            <w:r w:rsidR="00463703">
              <w:rPr>
                <w:sz w:val="26"/>
                <w:szCs w:val="26"/>
              </w:rPr>
              <w:t>-</w:t>
            </w:r>
            <w:r w:rsidR="00412849">
              <w:rPr>
                <w:sz w:val="26"/>
                <w:szCs w:val="26"/>
              </w:rPr>
              <w:t>грудня</w:t>
            </w:r>
            <w:r w:rsidR="003A7E67" w:rsidRPr="006C02B3">
              <w:rPr>
                <w:sz w:val="26"/>
                <w:szCs w:val="26"/>
              </w:rPr>
              <w:t xml:space="preserve"> </w:t>
            </w:r>
            <w:r w:rsidRPr="006C02B3">
              <w:rPr>
                <w:sz w:val="26"/>
                <w:szCs w:val="26"/>
              </w:rPr>
              <w:t xml:space="preserve"> 2021 року</w:t>
            </w:r>
          </w:p>
        </w:tc>
        <w:tc>
          <w:tcPr>
            <w:tcW w:w="1700" w:type="dxa"/>
            <w:shd w:val="clear" w:color="auto" w:fill="auto"/>
          </w:tcPr>
          <w:p w:rsidR="00E43A40" w:rsidRPr="006C02B3" w:rsidRDefault="00E43A40" w:rsidP="00412849">
            <w:pPr>
              <w:ind w:left="-108" w:right="-107"/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</w:t>
            </w:r>
            <w:r w:rsidR="00957557">
              <w:rPr>
                <w:sz w:val="26"/>
                <w:szCs w:val="26"/>
                <w:lang w:val="ru-RU"/>
              </w:rPr>
              <w:t xml:space="preserve">                   </w:t>
            </w:r>
            <w:r w:rsidRPr="006C02B3">
              <w:rPr>
                <w:sz w:val="26"/>
                <w:szCs w:val="26"/>
                <w:lang w:val="ru-RU"/>
              </w:rPr>
              <w:t xml:space="preserve">на 01 </w:t>
            </w:r>
            <w:proofErr w:type="spellStart"/>
            <w:r w:rsidR="00412849">
              <w:rPr>
                <w:sz w:val="26"/>
                <w:szCs w:val="26"/>
                <w:lang w:val="ru-RU"/>
              </w:rPr>
              <w:t>січн</w:t>
            </w:r>
            <w:r w:rsidR="009D52F6">
              <w:rPr>
                <w:sz w:val="26"/>
                <w:szCs w:val="26"/>
                <w:lang w:val="ru-RU"/>
              </w:rPr>
              <w:t>я</w:t>
            </w:r>
            <w:proofErr w:type="spellEnd"/>
            <w:r w:rsidRPr="006C02B3">
              <w:rPr>
                <w:sz w:val="26"/>
                <w:szCs w:val="26"/>
              </w:rPr>
              <w:t xml:space="preserve">  202</w:t>
            </w:r>
            <w:r w:rsidR="00412849">
              <w:rPr>
                <w:sz w:val="26"/>
                <w:szCs w:val="26"/>
              </w:rPr>
              <w:t>2</w:t>
            </w:r>
            <w:r w:rsidRPr="006C02B3">
              <w:rPr>
                <w:sz w:val="26"/>
                <w:szCs w:val="26"/>
              </w:rPr>
              <w:t xml:space="preserve"> року</w:t>
            </w:r>
          </w:p>
        </w:tc>
      </w:tr>
      <w:tr w:rsidR="00E43A40" w:rsidRPr="006C02B3" w:rsidTr="00DE0CAA">
        <w:trPr>
          <w:tblHeader/>
        </w:trPr>
        <w:tc>
          <w:tcPr>
            <w:tcW w:w="340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4</w:t>
            </w:r>
          </w:p>
        </w:tc>
      </w:tr>
      <w:tr w:rsidR="00E43A40" w:rsidRPr="006C02B3" w:rsidTr="00DE0CAA">
        <w:trPr>
          <w:trHeight w:val="313"/>
        </w:trPr>
        <w:tc>
          <w:tcPr>
            <w:tcW w:w="3403" w:type="dxa"/>
            <w:shd w:val="clear" w:color="auto" w:fill="auto"/>
          </w:tcPr>
          <w:p w:rsidR="001F7A41" w:rsidRPr="002E0DDE" w:rsidRDefault="00F92D8C" w:rsidP="00601F25">
            <w:pPr>
              <w:ind w:left="-108" w:right="-108"/>
              <w:jc w:val="center"/>
              <w:rPr>
                <w:lang w:val="en-US"/>
              </w:rPr>
            </w:pPr>
            <w:r w:rsidRPr="002E0DDE">
              <w:t>К</w:t>
            </w:r>
            <w:r w:rsidR="00E43A40" w:rsidRPr="002E0DDE">
              <w:t>отловий рахунок</w:t>
            </w:r>
            <w:r w:rsidR="00F21554" w:rsidRPr="002E0DDE">
              <w:t xml:space="preserve"> </w:t>
            </w:r>
          </w:p>
          <w:p w:rsidR="00E43A40" w:rsidRPr="001F7A41" w:rsidRDefault="00F21554" w:rsidP="00601F25">
            <w:pPr>
              <w:ind w:left="-108" w:right="-108"/>
              <w:jc w:val="center"/>
            </w:pPr>
            <w:r w:rsidRPr="002E0DDE">
              <w:t>загального фонду</w:t>
            </w:r>
            <w:r w:rsidRPr="001F7A41"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9012C6" w:rsidP="0082041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5 097 505,55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8526E0" w:rsidP="00AF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F36CF">
              <w:rPr>
                <w:sz w:val="26"/>
                <w:szCs w:val="26"/>
              </w:rPr>
              <w:t>31 600 666</w:t>
            </w:r>
            <w:r>
              <w:rPr>
                <w:sz w:val="26"/>
                <w:szCs w:val="26"/>
              </w:rPr>
              <w:t>,</w:t>
            </w:r>
            <w:r w:rsidR="00AF36CF">
              <w:rPr>
                <w:sz w:val="26"/>
                <w:szCs w:val="26"/>
              </w:rPr>
              <w:t>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8526E0" w:rsidP="00AF36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F36CF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 </w:t>
            </w:r>
            <w:r w:rsidR="0052793D">
              <w:rPr>
                <w:sz w:val="26"/>
                <w:szCs w:val="26"/>
              </w:rPr>
              <w:t>07</w:t>
            </w:r>
            <w:r w:rsidR="00AF36C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</w:t>
            </w:r>
            <w:r w:rsidR="0052793D">
              <w:rPr>
                <w:sz w:val="26"/>
                <w:szCs w:val="26"/>
              </w:rPr>
              <w:t>3</w:t>
            </w:r>
            <w:r w:rsidR="00AF36CF">
              <w:rPr>
                <w:sz w:val="26"/>
                <w:szCs w:val="26"/>
              </w:rPr>
              <w:t>66</w:t>
            </w:r>
            <w:r>
              <w:rPr>
                <w:sz w:val="26"/>
                <w:szCs w:val="26"/>
              </w:rPr>
              <w:t>,</w:t>
            </w:r>
            <w:r w:rsidR="0052793D">
              <w:rPr>
                <w:sz w:val="26"/>
                <w:szCs w:val="26"/>
              </w:rPr>
              <w:t>6</w:t>
            </w:r>
            <w:r w:rsidR="00AF36CF">
              <w:rPr>
                <w:sz w:val="26"/>
                <w:szCs w:val="26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43A40" w:rsidRPr="006C02B3" w:rsidRDefault="00AF36CF" w:rsidP="007F1348">
            <w:pPr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6 622 805,60</w:t>
            </w:r>
          </w:p>
        </w:tc>
      </w:tr>
      <w:tr w:rsidR="00E43A40" w:rsidRPr="006C02B3" w:rsidTr="00DE0CAA">
        <w:tc>
          <w:tcPr>
            <w:tcW w:w="3403" w:type="dxa"/>
            <w:shd w:val="clear" w:color="auto" w:fill="auto"/>
          </w:tcPr>
          <w:p w:rsidR="00E43A40" w:rsidRPr="001F7A41" w:rsidRDefault="003D49D5" w:rsidP="001F7A41">
            <w:pPr>
              <w:jc w:val="center"/>
            </w:pPr>
            <w:r w:rsidRPr="001F7A41">
              <w:t>Кошти субвенції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 (цукровий та нецукровий діабет)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3D49D5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3925A4" w:rsidP="0039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  <w:r w:rsidR="002C152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700</w:t>
            </w:r>
            <w:r w:rsidR="002C152A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3925A4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988 700,00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43A40" w:rsidRPr="006C02B3" w:rsidRDefault="002C152A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E43A40" w:rsidRPr="006C02B3" w:rsidTr="00DE0CAA">
        <w:tc>
          <w:tcPr>
            <w:tcW w:w="3403" w:type="dxa"/>
            <w:shd w:val="clear" w:color="auto" w:fill="auto"/>
          </w:tcPr>
          <w:p w:rsidR="00E43A40" w:rsidRPr="001F7A41" w:rsidRDefault="009E79DB" w:rsidP="00601F25">
            <w:pPr>
              <w:ind w:left="-108" w:right="-108"/>
              <w:jc w:val="center"/>
            </w:pPr>
            <w:r w:rsidRPr="001F7A41">
              <w:t>Кошти освітньої субвенції</w:t>
            </w:r>
            <w:r w:rsidR="0053192F" w:rsidRPr="001F7A41">
              <w:t xml:space="preserve"> (залишок 2020 року)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43A40" w:rsidRPr="006C02B3" w:rsidTr="00DE0CAA">
        <w:trPr>
          <w:trHeight w:val="806"/>
        </w:trPr>
        <w:tc>
          <w:tcPr>
            <w:tcW w:w="3403" w:type="dxa"/>
            <w:shd w:val="clear" w:color="auto" w:fill="auto"/>
            <w:vAlign w:val="center"/>
          </w:tcPr>
          <w:p w:rsidR="002904C3" w:rsidRPr="001F7A41" w:rsidRDefault="002904C3" w:rsidP="001F7A41">
            <w:pPr>
              <w:jc w:val="center"/>
            </w:pPr>
            <w:r w:rsidRPr="001F7A41">
              <w:lastRenderedPageBreak/>
              <w:t>Освітня субвенція з державного бюджету місцевим бюджетам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E43A40" w:rsidP="00601F25">
            <w:pPr>
              <w:jc w:val="center"/>
              <w:rPr>
                <w:b/>
                <w:sz w:val="26"/>
                <w:szCs w:val="26"/>
              </w:rPr>
            </w:pPr>
          </w:p>
          <w:p w:rsidR="00957D4E" w:rsidRPr="006C02B3" w:rsidRDefault="002904C3" w:rsidP="00601F25">
            <w:pPr>
              <w:jc w:val="center"/>
              <w:rPr>
                <w:b/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  <w:p w:rsidR="00CE58B5" w:rsidRPr="006C02B3" w:rsidRDefault="00CE58B5" w:rsidP="00601F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7F1018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82 904 200,00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7F1018" w:rsidP="002D0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D047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="002D0474">
              <w:rPr>
                <w:sz w:val="26"/>
                <w:szCs w:val="26"/>
              </w:rPr>
              <w:t>880</w:t>
            </w:r>
            <w:r>
              <w:rPr>
                <w:sz w:val="26"/>
                <w:szCs w:val="26"/>
              </w:rPr>
              <w:t> </w:t>
            </w:r>
            <w:r w:rsidR="002D0474">
              <w:rPr>
                <w:sz w:val="26"/>
                <w:szCs w:val="26"/>
              </w:rPr>
              <w:t>348</w:t>
            </w:r>
            <w:r>
              <w:rPr>
                <w:sz w:val="26"/>
                <w:szCs w:val="26"/>
              </w:rPr>
              <w:t>,</w:t>
            </w:r>
            <w:r w:rsidR="002D0474">
              <w:rPr>
                <w:sz w:val="26"/>
                <w:szCs w:val="26"/>
              </w:rPr>
              <w:t>54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04C3" w:rsidRPr="006C02B3" w:rsidRDefault="002D0474" w:rsidP="00601F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1 023 851,46</w:t>
            </w:r>
          </w:p>
        </w:tc>
      </w:tr>
      <w:tr w:rsidR="00E43A40" w:rsidRPr="006C02B3" w:rsidTr="00DE0CAA">
        <w:tc>
          <w:tcPr>
            <w:tcW w:w="3403" w:type="dxa"/>
            <w:shd w:val="clear" w:color="auto" w:fill="auto"/>
          </w:tcPr>
          <w:p w:rsidR="00E43A40" w:rsidRPr="001F7A41" w:rsidRDefault="00B97B03" w:rsidP="001F7A41">
            <w:pPr>
              <w:jc w:val="center"/>
            </w:pPr>
            <w:r w:rsidRPr="001F7A41">
              <w:t>Субвенція з місцевого бюджету на здійснення переданих видатків у сфері освіти за рахунок коштів освітньої субвенції (інклюзивно–ресурсний центр)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46293" w:rsidP="007F10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7F1018">
              <w:rPr>
                <w:sz w:val="26"/>
                <w:szCs w:val="26"/>
              </w:rPr>
              <w:t>188</w:t>
            </w:r>
            <w:r>
              <w:rPr>
                <w:sz w:val="26"/>
                <w:szCs w:val="26"/>
              </w:rPr>
              <w:t> </w:t>
            </w:r>
            <w:r w:rsidR="007F101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55791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793 846,96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43A40" w:rsidRPr="006C02B3" w:rsidRDefault="00255791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394 353,04</w:t>
            </w:r>
          </w:p>
        </w:tc>
      </w:tr>
      <w:tr w:rsidR="00E43A40" w:rsidRPr="006C02B3" w:rsidTr="00DE0CAA">
        <w:tc>
          <w:tcPr>
            <w:tcW w:w="3403" w:type="dxa"/>
            <w:shd w:val="clear" w:color="auto" w:fill="auto"/>
          </w:tcPr>
          <w:p w:rsidR="00E43A40" w:rsidRPr="001F7A41" w:rsidRDefault="00B97B03" w:rsidP="001F7A41">
            <w:pPr>
              <w:jc w:val="center"/>
            </w:pPr>
            <w:r w:rsidRPr="001F7A41"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46293" w:rsidP="007F10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F1018">
              <w:rPr>
                <w:sz w:val="26"/>
                <w:szCs w:val="26"/>
              </w:rPr>
              <w:t>34</w:t>
            </w:r>
            <w:r>
              <w:rPr>
                <w:sz w:val="26"/>
                <w:szCs w:val="26"/>
              </w:rPr>
              <w:t> </w:t>
            </w:r>
            <w:r w:rsidR="007F1018">
              <w:rPr>
                <w:sz w:val="26"/>
                <w:szCs w:val="26"/>
              </w:rPr>
              <w:t>912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7F1018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234 912,00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43A40" w:rsidRPr="006C02B3" w:rsidRDefault="0043478F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97B03" w:rsidRPr="006C02B3">
              <w:rPr>
                <w:sz w:val="26"/>
                <w:szCs w:val="26"/>
              </w:rPr>
              <w:t>,00</w:t>
            </w:r>
          </w:p>
        </w:tc>
      </w:tr>
      <w:tr w:rsidR="002C152A" w:rsidRPr="006C02B3" w:rsidTr="00DE0CAA">
        <w:tc>
          <w:tcPr>
            <w:tcW w:w="3403" w:type="dxa"/>
            <w:shd w:val="clear" w:color="auto" w:fill="auto"/>
          </w:tcPr>
          <w:p w:rsidR="002C152A" w:rsidRPr="001F7A41" w:rsidRDefault="002C152A" w:rsidP="001F7A41">
            <w:pPr>
              <w:jc w:val="center"/>
            </w:pPr>
            <w:r w:rsidRPr="001F7A41">
              <w:t xml:space="preserve">Субвенція з місцевого бюджету на забезпечення якісної, сучасної та доступної загальної середньої освіти </w:t>
            </w:r>
            <w:r w:rsidR="001F7A41">
              <w:t>«</w:t>
            </w:r>
            <w:r w:rsidRPr="001F7A41">
              <w:t xml:space="preserve">Нова українська </w:t>
            </w:r>
            <w:r w:rsidR="001F7A41">
              <w:t>школа»</w:t>
            </w:r>
            <w:r w:rsidRPr="001F7A41">
              <w:t xml:space="preserve"> за рахунок відповідної субвенції з державного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52A" w:rsidRPr="006C02B3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150F8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1 360 463</w:t>
            </w:r>
            <w:r w:rsidR="002C152A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150F8D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1 360 463,00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2C152A" w:rsidRPr="006C02B3" w:rsidTr="00DE0CAA">
        <w:tc>
          <w:tcPr>
            <w:tcW w:w="3403" w:type="dxa"/>
            <w:shd w:val="clear" w:color="auto" w:fill="auto"/>
          </w:tcPr>
          <w:p w:rsidR="002C152A" w:rsidRPr="001F7A41" w:rsidRDefault="002C152A" w:rsidP="002C152A">
            <w:pPr>
              <w:jc w:val="center"/>
            </w:pPr>
            <w:r w:rsidRPr="001F7A41">
              <w:t>Субвенція з державного бюджету місцевим бюджетам на здійснення заходів щодо соціально-економічного розвитку окремих територій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730563" w:rsidP="00B36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F1018">
              <w:rPr>
                <w:sz w:val="26"/>
                <w:szCs w:val="26"/>
              </w:rPr>
              <w:t xml:space="preserve"> 075</w:t>
            </w:r>
            <w:r w:rsidR="002C152A">
              <w:rPr>
                <w:sz w:val="26"/>
                <w:szCs w:val="26"/>
              </w:rPr>
              <w:t>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730563" w:rsidP="00B36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7 960 997,64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152A" w:rsidRDefault="00730563" w:rsidP="00730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4 114 002</w:t>
            </w:r>
            <w:r w:rsidR="002C152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36</w:t>
            </w:r>
          </w:p>
        </w:tc>
      </w:tr>
      <w:tr w:rsidR="00AC1C8E" w:rsidRPr="006C02B3" w:rsidTr="00DE0CAA">
        <w:tc>
          <w:tcPr>
            <w:tcW w:w="3403" w:type="dxa"/>
            <w:shd w:val="clear" w:color="auto" w:fill="auto"/>
          </w:tcPr>
          <w:p w:rsidR="00AC1C8E" w:rsidRPr="001F7A41" w:rsidRDefault="00AC1C8E" w:rsidP="002C152A">
            <w:pPr>
              <w:jc w:val="center"/>
            </w:pPr>
            <w:r w:rsidRPr="001F7A41">
              <w:t>Субвенція з державного бюджету місцевим бюджетам на розвиток мережі центрів надання адміністративних послуг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C8E" w:rsidRDefault="00AC1C8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C8E" w:rsidRDefault="007F1018" w:rsidP="000C6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6 447 645</w:t>
            </w:r>
            <w:r w:rsidR="00AC1C8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C8E" w:rsidRDefault="007F1018" w:rsidP="00730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</w:t>
            </w:r>
            <w:r w:rsidR="00730563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 xml:space="preserve">7 </w:t>
            </w:r>
            <w:r w:rsidR="0073056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45,</w:t>
            </w:r>
            <w:r w:rsidR="00730563">
              <w:rPr>
                <w:sz w:val="26"/>
                <w:szCs w:val="26"/>
              </w:rPr>
              <w:t>62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C1C8E" w:rsidRDefault="00730563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370 399,38</w:t>
            </w:r>
          </w:p>
        </w:tc>
      </w:tr>
      <w:tr w:rsidR="0013413C" w:rsidRPr="006C02B3" w:rsidTr="00DE0CAA">
        <w:trPr>
          <w:trHeight w:val="1275"/>
        </w:trPr>
        <w:tc>
          <w:tcPr>
            <w:tcW w:w="3403" w:type="dxa"/>
            <w:shd w:val="clear" w:color="auto" w:fill="auto"/>
          </w:tcPr>
          <w:p w:rsidR="0013413C" w:rsidRPr="001F7A41" w:rsidRDefault="0013413C" w:rsidP="002E0DDE">
            <w:pPr>
              <w:jc w:val="center"/>
            </w:pPr>
            <w:r w:rsidRPr="0013413C">
              <w:t>Субвенція з державного бюджету місцевим б</w:t>
            </w:r>
            <w:r>
              <w:t>юджетам на реалізацію програми «</w:t>
            </w:r>
            <w:r w:rsidRPr="0013413C">
              <w:t>Спромож</w:t>
            </w:r>
            <w:r>
              <w:t>на школа для кращих результатів»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413C" w:rsidRDefault="00E21A6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13C" w:rsidRDefault="007F1018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892 200</w:t>
            </w:r>
            <w:r w:rsidR="0013413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13C" w:rsidRDefault="007F1018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892 200,00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3413C" w:rsidRDefault="0013413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903B9" w:rsidRPr="006C02B3" w:rsidTr="00DE0CAA">
        <w:trPr>
          <w:trHeight w:val="1275"/>
        </w:trPr>
        <w:tc>
          <w:tcPr>
            <w:tcW w:w="3403" w:type="dxa"/>
            <w:shd w:val="clear" w:color="auto" w:fill="auto"/>
          </w:tcPr>
          <w:p w:rsidR="006903B9" w:rsidRPr="0013413C" w:rsidRDefault="006903B9" w:rsidP="002E0DDE">
            <w:pPr>
              <w:jc w:val="center"/>
            </w:pPr>
            <w:r w:rsidRPr="006903B9">
              <w:t xml:space="preserve">Субвенція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</w:t>
            </w:r>
            <w:r w:rsidRPr="006903B9">
              <w:lastRenderedPageBreak/>
              <w:t>групових будинків та забезпечення житлом дітей-сиріт, дітей, позбавл</w:t>
            </w:r>
            <w:r>
              <w:t>ених батьківського піклування,осіб з їх числа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3B9" w:rsidRDefault="00E21A6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3B9" w:rsidRDefault="00E21A6E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1 675 364</w:t>
            </w:r>
            <w:r w:rsidR="006903B9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3B9" w:rsidRDefault="00E21A6E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1 675 364</w:t>
            </w:r>
            <w:r w:rsidR="006903B9">
              <w:rPr>
                <w:sz w:val="26"/>
                <w:szCs w:val="26"/>
              </w:rPr>
              <w:t>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903B9" w:rsidRDefault="006903B9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D17D3B" w:rsidRPr="006C02B3" w:rsidTr="00DE0CAA">
        <w:trPr>
          <w:trHeight w:val="1313"/>
        </w:trPr>
        <w:tc>
          <w:tcPr>
            <w:tcW w:w="3403" w:type="dxa"/>
            <w:shd w:val="clear" w:color="auto" w:fill="auto"/>
          </w:tcPr>
          <w:p w:rsidR="00D17D3B" w:rsidRPr="006903B9" w:rsidRDefault="00D17D3B" w:rsidP="002E0DDE">
            <w:pPr>
              <w:jc w:val="center"/>
            </w:pPr>
            <w:r w:rsidRPr="00D17D3B">
              <w:lastRenderedPageBreak/>
              <w:t>Субвенція з державного бюджету місцевим бюджетам на реалізацію інфраструктурних проектів та розвиток об`єктів соціально-культурної сфери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7D3B" w:rsidRDefault="00E21A6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7D3B" w:rsidRDefault="007F1018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17D3B">
              <w:rPr>
                <w:sz w:val="26"/>
                <w:szCs w:val="26"/>
              </w:rPr>
              <w:t> 000 000,00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7D3B" w:rsidRDefault="00730563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8 212 122,64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7D3B" w:rsidRDefault="00730563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1 787 877,36</w:t>
            </w:r>
          </w:p>
        </w:tc>
      </w:tr>
      <w:tr w:rsidR="001E7842" w:rsidRPr="006C02B3" w:rsidTr="00DE0CAA">
        <w:trPr>
          <w:trHeight w:val="445"/>
        </w:trPr>
        <w:tc>
          <w:tcPr>
            <w:tcW w:w="3403" w:type="dxa"/>
            <w:shd w:val="clear" w:color="auto" w:fill="auto"/>
          </w:tcPr>
          <w:p w:rsidR="001E7842" w:rsidRPr="0013413C" w:rsidRDefault="001E7842" w:rsidP="002E0DDE">
            <w:pPr>
              <w:jc w:val="center"/>
            </w:pPr>
            <w:r w:rsidRPr="001E7842"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842" w:rsidRDefault="00E21A6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842" w:rsidRDefault="007F1018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1 063 764</w:t>
            </w:r>
            <w:r w:rsidR="00246293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842" w:rsidRDefault="002E0A23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1 063 764,00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E7842" w:rsidRDefault="002E0A23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21A6E" w:rsidRPr="006C02B3" w:rsidTr="00DE0CAA">
        <w:trPr>
          <w:trHeight w:val="445"/>
        </w:trPr>
        <w:tc>
          <w:tcPr>
            <w:tcW w:w="3403" w:type="dxa"/>
            <w:shd w:val="clear" w:color="auto" w:fill="auto"/>
          </w:tcPr>
          <w:p w:rsidR="00E21A6E" w:rsidRPr="001E7842" w:rsidRDefault="00E21A6E" w:rsidP="00E21A6E">
            <w:pPr>
              <w:jc w:val="center"/>
            </w:pPr>
            <w:r w:rsidRPr="00803BCA">
              <w:rPr>
                <w:sz w:val="28"/>
              </w:rPr>
              <w:t>дотаці</w:t>
            </w:r>
            <w:r>
              <w:rPr>
                <w:sz w:val="28"/>
              </w:rPr>
              <w:t>я</w:t>
            </w:r>
            <w:r w:rsidRPr="00803BCA">
              <w:rPr>
                <w:sz w:val="28"/>
              </w:rPr>
              <w:t xml:space="preserve"> з місцевого бюджету на проведення розрахунків протягом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за рахунок відповідної додаткової дотації з державного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A6E" w:rsidRDefault="00E21A6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A6E" w:rsidRDefault="00E21A6E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1 825 800,00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A6E" w:rsidRDefault="00E21A6E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1 825 800,00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21A6E" w:rsidRDefault="00E21A6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43A40" w:rsidRPr="006C02B3" w:rsidTr="00DE0CAA">
        <w:tc>
          <w:tcPr>
            <w:tcW w:w="3403" w:type="dxa"/>
            <w:shd w:val="clear" w:color="auto" w:fill="auto"/>
          </w:tcPr>
          <w:p w:rsidR="00E43A40" w:rsidRPr="001F7A41" w:rsidRDefault="00CE58B5" w:rsidP="002E0DDE">
            <w:pPr>
              <w:ind w:left="-108" w:right="-108"/>
              <w:jc w:val="center"/>
              <w:rPr>
                <w:lang w:val="ru-RU"/>
              </w:rPr>
            </w:pPr>
            <w:r w:rsidRPr="001F7A41">
              <w:t xml:space="preserve">Залишок на рахунках спеціального фонду </w:t>
            </w:r>
            <w:r w:rsidR="0096620A" w:rsidRPr="001F7A41">
              <w:rPr>
                <w:lang w:val="ru-RU"/>
              </w:rPr>
              <w:t xml:space="preserve">(без </w:t>
            </w:r>
            <w:r w:rsidR="0096620A" w:rsidRPr="001F7A41">
              <w:t>власних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надходжень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бюджетних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установ</w:t>
            </w:r>
            <w:r w:rsidR="0096620A" w:rsidRPr="001F7A41">
              <w:rPr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1B0419" w:rsidP="00E43A40">
            <w:pPr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  <w:lang w:val="ru-RU"/>
              </w:rPr>
              <w:t>627 971,88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3412E4" w:rsidP="008255D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534 </w:t>
            </w:r>
            <w:r w:rsidR="008255DD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94</w:t>
            </w:r>
            <w:r w:rsidR="00A94D11">
              <w:rPr>
                <w:sz w:val="26"/>
                <w:szCs w:val="26"/>
                <w:lang w:val="ru-RU"/>
              </w:rPr>
              <w:t>,45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8255DD" w:rsidP="00467A0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299 626,0</w:t>
            </w:r>
            <w:r w:rsidR="00467A04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7E9F" w:rsidRPr="006C02B3" w:rsidRDefault="008255DD" w:rsidP="003F37F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862 640,</w:t>
            </w:r>
            <w:r w:rsidR="003F37FD">
              <w:rPr>
                <w:sz w:val="26"/>
                <w:szCs w:val="26"/>
                <w:lang w:val="ru-RU"/>
              </w:rPr>
              <w:t>33</w:t>
            </w:r>
          </w:p>
        </w:tc>
      </w:tr>
    </w:tbl>
    <w:p w:rsidR="002E0DDE" w:rsidRDefault="002E0DDE" w:rsidP="0013413C">
      <w:pPr>
        <w:tabs>
          <w:tab w:val="left" w:pos="1080"/>
        </w:tabs>
        <w:jc w:val="both"/>
        <w:rPr>
          <w:sz w:val="28"/>
          <w:szCs w:val="28"/>
          <w:lang w:val="en-US"/>
        </w:rPr>
      </w:pPr>
    </w:p>
    <w:p w:rsidR="00870FF6" w:rsidRPr="00863A90" w:rsidRDefault="00191766" w:rsidP="0013413C">
      <w:pPr>
        <w:tabs>
          <w:tab w:val="left" w:pos="1080"/>
        </w:tabs>
        <w:jc w:val="both"/>
        <w:rPr>
          <w:sz w:val="28"/>
          <w:szCs w:val="28"/>
          <w:lang w:val="ru-RU"/>
        </w:rPr>
      </w:pPr>
      <w:r w:rsidRPr="006C02B3">
        <w:rPr>
          <w:sz w:val="28"/>
          <w:szCs w:val="28"/>
        </w:rPr>
        <w:t xml:space="preserve">Додатки: на </w:t>
      </w:r>
      <w:r w:rsidR="00E21A6E">
        <w:rPr>
          <w:sz w:val="28"/>
          <w:szCs w:val="28"/>
        </w:rPr>
        <w:t>9</w:t>
      </w:r>
      <w:r w:rsidRPr="006C02B3">
        <w:rPr>
          <w:sz w:val="28"/>
          <w:szCs w:val="28"/>
        </w:rPr>
        <w:t xml:space="preserve"> аркушах.</w:t>
      </w:r>
    </w:p>
    <w:p w:rsidR="001F7A41" w:rsidRPr="002E0DDE" w:rsidRDefault="001F7A41" w:rsidP="00601F25">
      <w:pPr>
        <w:tabs>
          <w:tab w:val="left" w:pos="1080"/>
        </w:tabs>
        <w:jc w:val="center"/>
        <w:rPr>
          <w:sz w:val="28"/>
          <w:szCs w:val="28"/>
          <w:lang w:val="ru-RU"/>
        </w:rPr>
      </w:pPr>
    </w:p>
    <w:p w:rsidR="00853C86" w:rsidRDefault="00853C86" w:rsidP="00601F25">
      <w:pPr>
        <w:tabs>
          <w:tab w:val="left" w:pos="1080"/>
        </w:tabs>
        <w:jc w:val="center"/>
        <w:rPr>
          <w:sz w:val="28"/>
          <w:szCs w:val="28"/>
          <w:lang w:val="en-US"/>
        </w:rPr>
      </w:pPr>
    </w:p>
    <w:p w:rsidR="00191766" w:rsidRPr="00DF5422" w:rsidRDefault="00191766" w:rsidP="00601F25">
      <w:pPr>
        <w:tabs>
          <w:tab w:val="left" w:pos="1080"/>
        </w:tabs>
        <w:jc w:val="center"/>
      </w:pPr>
      <w:r w:rsidRPr="006C02B3">
        <w:rPr>
          <w:sz w:val="28"/>
          <w:szCs w:val="28"/>
        </w:rPr>
        <w:t xml:space="preserve">Начальник </w:t>
      </w:r>
      <w:r w:rsidR="00B15174" w:rsidRPr="006C02B3">
        <w:rPr>
          <w:sz w:val="28"/>
          <w:szCs w:val="28"/>
        </w:rPr>
        <w:t xml:space="preserve">відділу    </w:t>
      </w:r>
      <w:r w:rsidRPr="006C02B3">
        <w:rPr>
          <w:sz w:val="28"/>
          <w:szCs w:val="28"/>
        </w:rPr>
        <w:t xml:space="preserve">                                                   </w:t>
      </w:r>
      <w:r w:rsidR="00B15174" w:rsidRPr="006C02B3">
        <w:rPr>
          <w:sz w:val="28"/>
          <w:szCs w:val="28"/>
        </w:rPr>
        <w:t>Людмила</w:t>
      </w:r>
      <w:r w:rsidR="007030CB" w:rsidRPr="006C02B3">
        <w:rPr>
          <w:sz w:val="28"/>
          <w:szCs w:val="28"/>
        </w:rPr>
        <w:t xml:space="preserve"> </w:t>
      </w:r>
      <w:r w:rsidR="00B15174" w:rsidRPr="006C02B3">
        <w:rPr>
          <w:sz w:val="28"/>
          <w:szCs w:val="28"/>
        </w:rPr>
        <w:t>ФЛЕРЧУК</w:t>
      </w:r>
    </w:p>
    <w:sectPr w:rsidR="00191766" w:rsidRPr="00DF5422" w:rsidSect="00893155">
      <w:pgSz w:w="11906" w:h="16838"/>
      <w:pgMar w:top="851" w:right="851" w:bottom="993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CAA" w:rsidRDefault="00DE0CAA" w:rsidP="00945DC8">
      <w:r>
        <w:separator/>
      </w:r>
    </w:p>
  </w:endnote>
  <w:endnote w:type="continuationSeparator" w:id="0">
    <w:p w:rsidR="00DE0CAA" w:rsidRDefault="00DE0CAA" w:rsidP="009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865756"/>
      <w:docPartObj>
        <w:docPartGallery w:val="Page Numbers (Bottom of Page)"/>
        <w:docPartUnique/>
      </w:docPartObj>
    </w:sdtPr>
    <w:sdtEndPr/>
    <w:sdtContent>
      <w:p w:rsidR="00DE0CAA" w:rsidRDefault="00DE0C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50E" w:rsidRPr="0083650E">
          <w:rPr>
            <w:noProof/>
            <w:lang w:val="ru-RU"/>
          </w:rPr>
          <w:t>2</w:t>
        </w:r>
        <w:r>
          <w:fldChar w:fldCharType="end"/>
        </w:r>
      </w:p>
    </w:sdtContent>
  </w:sdt>
  <w:p w:rsidR="00DE0CAA" w:rsidRDefault="00DE0C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CAA" w:rsidRDefault="00DE0CAA" w:rsidP="00945DC8">
      <w:r>
        <w:separator/>
      </w:r>
    </w:p>
  </w:footnote>
  <w:footnote w:type="continuationSeparator" w:id="0">
    <w:p w:rsidR="00DE0CAA" w:rsidRDefault="00DE0CAA" w:rsidP="0094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68"/>
    <w:multiLevelType w:val="hybridMultilevel"/>
    <w:tmpl w:val="C15C85A0"/>
    <w:lvl w:ilvl="0" w:tplc="27589E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4621"/>
    <w:multiLevelType w:val="hybridMultilevel"/>
    <w:tmpl w:val="64A6A8FC"/>
    <w:lvl w:ilvl="0" w:tplc="6B5AB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42B41"/>
    <w:multiLevelType w:val="hybridMultilevel"/>
    <w:tmpl w:val="26E0B9EC"/>
    <w:lvl w:ilvl="0" w:tplc="6B5AB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54472"/>
    <w:multiLevelType w:val="hybridMultilevel"/>
    <w:tmpl w:val="793C8756"/>
    <w:lvl w:ilvl="0" w:tplc="D42AFFD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95725"/>
    <w:multiLevelType w:val="hybridMultilevel"/>
    <w:tmpl w:val="76563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C3629"/>
    <w:multiLevelType w:val="hybridMultilevel"/>
    <w:tmpl w:val="10F6EE0C"/>
    <w:lvl w:ilvl="0" w:tplc="6B5AB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30D8A"/>
    <w:multiLevelType w:val="hybridMultilevel"/>
    <w:tmpl w:val="4BB6F710"/>
    <w:lvl w:ilvl="0" w:tplc="6B5AB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01D9B"/>
    <w:multiLevelType w:val="hybridMultilevel"/>
    <w:tmpl w:val="95EE5E74"/>
    <w:lvl w:ilvl="0" w:tplc="6B5AB4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BA"/>
    <w:rsid w:val="00000E3B"/>
    <w:rsid w:val="000040A3"/>
    <w:rsid w:val="00006A54"/>
    <w:rsid w:val="0000754E"/>
    <w:rsid w:val="00011A25"/>
    <w:rsid w:val="00012087"/>
    <w:rsid w:val="00014B32"/>
    <w:rsid w:val="00022F83"/>
    <w:rsid w:val="00027EE1"/>
    <w:rsid w:val="00037F1B"/>
    <w:rsid w:val="00040C14"/>
    <w:rsid w:val="00041DFF"/>
    <w:rsid w:val="00047748"/>
    <w:rsid w:val="000512B6"/>
    <w:rsid w:val="00055335"/>
    <w:rsid w:val="0005746A"/>
    <w:rsid w:val="00062764"/>
    <w:rsid w:val="0006331F"/>
    <w:rsid w:val="00063CD9"/>
    <w:rsid w:val="00072195"/>
    <w:rsid w:val="00074D46"/>
    <w:rsid w:val="00076A89"/>
    <w:rsid w:val="00076E65"/>
    <w:rsid w:val="00077FBA"/>
    <w:rsid w:val="00080F48"/>
    <w:rsid w:val="00081411"/>
    <w:rsid w:val="00084789"/>
    <w:rsid w:val="000878E0"/>
    <w:rsid w:val="00094DEF"/>
    <w:rsid w:val="00095EB0"/>
    <w:rsid w:val="000A04CD"/>
    <w:rsid w:val="000A0868"/>
    <w:rsid w:val="000A496E"/>
    <w:rsid w:val="000B34F2"/>
    <w:rsid w:val="000B4D64"/>
    <w:rsid w:val="000B6AE0"/>
    <w:rsid w:val="000B7FCA"/>
    <w:rsid w:val="000C02C3"/>
    <w:rsid w:val="000C1979"/>
    <w:rsid w:val="000C2B6E"/>
    <w:rsid w:val="000C2EE3"/>
    <w:rsid w:val="000C6BC7"/>
    <w:rsid w:val="000D0059"/>
    <w:rsid w:val="000D0F93"/>
    <w:rsid w:val="000D1608"/>
    <w:rsid w:val="000D2A63"/>
    <w:rsid w:val="000D2B1E"/>
    <w:rsid w:val="000D350C"/>
    <w:rsid w:val="000D45AC"/>
    <w:rsid w:val="000D5A9F"/>
    <w:rsid w:val="000E050F"/>
    <w:rsid w:val="000E2B43"/>
    <w:rsid w:val="000E38E3"/>
    <w:rsid w:val="000E40C9"/>
    <w:rsid w:val="000F1CD9"/>
    <w:rsid w:val="000F4AB3"/>
    <w:rsid w:val="000F4AF4"/>
    <w:rsid w:val="000F5E22"/>
    <w:rsid w:val="000F7FC0"/>
    <w:rsid w:val="00102ACD"/>
    <w:rsid w:val="00103962"/>
    <w:rsid w:val="00103EAD"/>
    <w:rsid w:val="00106723"/>
    <w:rsid w:val="00106C3F"/>
    <w:rsid w:val="0010761D"/>
    <w:rsid w:val="00110F65"/>
    <w:rsid w:val="00117203"/>
    <w:rsid w:val="00117A71"/>
    <w:rsid w:val="00123AF5"/>
    <w:rsid w:val="0012538E"/>
    <w:rsid w:val="00125572"/>
    <w:rsid w:val="00131557"/>
    <w:rsid w:val="0013206E"/>
    <w:rsid w:val="0013413C"/>
    <w:rsid w:val="00136C94"/>
    <w:rsid w:val="0014056F"/>
    <w:rsid w:val="001421F3"/>
    <w:rsid w:val="00147666"/>
    <w:rsid w:val="00147D97"/>
    <w:rsid w:val="00150316"/>
    <w:rsid w:val="00150F8D"/>
    <w:rsid w:val="0015226C"/>
    <w:rsid w:val="0015284B"/>
    <w:rsid w:val="00163309"/>
    <w:rsid w:val="00173D49"/>
    <w:rsid w:val="00174488"/>
    <w:rsid w:val="0018024C"/>
    <w:rsid w:val="00180456"/>
    <w:rsid w:val="00185948"/>
    <w:rsid w:val="00191766"/>
    <w:rsid w:val="00192CC0"/>
    <w:rsid w:val="0019339E"/>
    <w:rsid w:val="00194105"/>
    <w:rsid w:val="001A3B68"/>
    <w:rsid w:val="001A497E"/>
    <w:rsid w:val="001A566B"/>
    <w:rsid w:val="001A68FA"/>
    <w:rsid w:val="001A6B3A"/>
    <w:rsid w:val="001B0419"/>
    <w:rsid w:val="001B0693"/>
    <w:rsid w:val="001B3D0C"/>
    <w:rsid w:val="001B43A1"/>
    <w:rsid w:val="001B4529"/>
    <w:rsid w:val="001C0950"/>
    <w:rsid w:val="001C476F"/>
    <w:rsid w:val="001C4875"/>
    <w:rsid w:val="001C77CB"/>
    <w:rsid w:val="001D26AD"/>
    <w:rsid w:val="001E27D7"/>
    <w:rsid w:val="001E357B"/>
    <w:rsid w:val="001E5557"/>
    <w:rsid w:val="001E71AA"/>
    <w:rsid w:val="001E7842"/>
    <w:rsid w:val="001F08F0"/>
    <w:rsid w:val="001F2962"/>
    <w:rsid w:val="001F6242"/>
    <w:rsid w:val="001F7A41"/>
    <w:rsid w:val="00201799"/>
    <w:rsid w:val="00202174"/>
    <w:rsid w:val="002022E0"/>
    <w:rsid w:val="00206882"/>
    <w:rsid w:val="0021712D"/>
    <w:rsid w:val="00222CC3"/>
    <w:rsid w:val="00227BD8"/>
    <w:rsid w:val="002345FE"/>
    <w:rsid w:val="00234929"/>
    <w:rsid w:val="00235055"/>
    <w:rsid w:val="00236B8E"/>
    <w:rsid w:val="002400DD"/>
    <w:rsid w:val="0024206E"/>
    <w:rsid w:val="00242A33"/>
    <w:rsid w:val="00242EF2"/>
    <w:rsid w:val="002449FA"/>
    <w:rsid w:val="00246293"/>
    <w:rsid w:val="00255791"/>
    <w:rsid w:val="00255F46"/>
    <w:rsid w:val="00257D78"/>
    <w:rsid w:val="00260AF9"/>
    <w:rsid w:val="002659CA"/>
    <w:rsid w:val="00265BA6"/>
    <w:rsid w:val="00267F3B"/>
    <w:rsid w:val="00274FE9"/>
    <w:rsid w:val="00275432"/>
    <w:rsid w:val="0027599C"/>
    <w:rsid w:val="00277687"/>
    <w:rsid w:val="00284312"/>
    <w:rsid w:val="00284EDC"/>
    <w:rsid w:val="00287FD1"/>
    <w:rsid w:val="002904C3"/>
    <w:rsid w:val="002906FB"/>
    <w:rsid w:val="00291F2D"/>
    <w:rsid w:val="0029292B"/>
    <w:rsid w:val="002929ED"/>
    <w:rsid w:val="00296393"/>
    <w:rsid w:val="002976C2"/>
    <w:rsid w:val="002977D1"/>
    <w:rsid w:val="002A0587"/>
    <w:rsid w:val="002A4725"/>
    <w:rsid w:val="002A4D6E"/>
    <w:rsid w:val="002A5E91"/>
    <w:rsid w:val="002A7304"/>
    <w:rsid w:val="002B2AA6"/>
    <w:rsid w:val="002B4C2D"/>
    <w:rsid w:val="002B66AA"/>
    <w:rsid w:val="002B6974"/>
    <w:rsid w:val="002C05F7"/>
    <w:rsid w:val="002C152A"/>
    <w:rsid w:val="002C403B"/>
    <w:rsid w:val="002C6A0B"/>
    <w:rsid w:val="002D0474"/>
    <w:rsid w:val="002D1512"/>
    <w:rsid w:val="002D1795"/>
    <w:rsid w:val="002D2B3A"/>
    <w:rsid w:val="002D5EFE"/>
    <w:rsid w:val="002D79C9"/>
    <w:rsid w:val="002E0A23"/>
    <w:rsid w:val="002E0DDE"/>
    <w:rsid w:val="002E0E01"/>
    <w:rsid w:val="002E60F8"/>
    <w:rsid w:val="002E7FAA"/>
    <w:rsid w:val="002F0BDB"/>
    <w:rsid w:val="002F42DB"/>
    <w:rsid w:val="002F5975"/>
    <w:rsid w:val="002F7DAD"/>
    <w:rsid w:val="00302544"/>
    <w:rsid w:val="0030435B"/>
    <w:rsid w:val="003045F2"/>
    <w:rsid w:val="00305D9B"/>
    <w:rsid w:val="00305FB8"/>
    <w:rsid w:val="003066AD"/>
    <w:rsid w:val="00307800"/>
    <w:rsid w:val="00311919"/>
    <w:rsid w:val="00314338"/>
    <w:rsid w:val="00314BC9"/>
    <w:rsid w:val="00315228"/>
    <w:rsid w:val="00315587"/>
    <w:rsid w:val="00315D58"/>
    <w:rsid w:val="00316E42"/>
    <w:rsid w:val="00321B51"/>
    <w:rsid w:val="00331EF0"/>
    <w:rsid w:val="00331FAC"/>
    <w:rsid w:val="00335019"/>
    <w:rsid w:val="00335398"/>
    <w:rsid w:val="0033571E"/>
    <w:rsid w:val="0034021C"/>
    <w:rsid w:val="003409E7"/>
    <w:rsid w:val="003412E4"/>
    <w:rsid w:val="00344B82"/>
    <w:rsid w:val="00344FAE"/>
    <w:rsid w:val="00350A94"/>
    <w:rsid w:val="00353DEB"/>
    <w:rsid w:val="00357CAC"/>
    <w:rsid w:val="003615A1"/>
    <w:rsid w:val="00362178"/>
    <w:rsid w:val="00364441"/>
    <w:rsid w:val="0036476A"/>
    <w:rsid w:val="00364EA1"/>
    <w:rsid w:val="00375C9C"/>
    <w:rsid w:val="0037630E"/>
    <w:rsid w:val="00376546"/>
    <w:rsid w:val="003803A8"/>
    <w:rsid w:val="00380466"/>
    <w:rsid w:val="00383915"/>
    <w:rsid w:val="00391828"/>
    <w:rsid w:val="003925A4"/>
    <w:rsid w:val="0039418D"/>
    <w:rsid w:val="0039488A"/>
    <w:rsid w:val="00394989"/>
    <w:rsid w:val="003A7E67"/>
    <w:rsid w:val="003B4325"/>
    <w:rsid w:val="003B664A"/>
    <w:rsid w:val="003C2A9C"/>
    <w:rsid w:val="003C62FF"/>
    <w:rsid w:val="003D3363"/>
    <w:rsid w:val="003D49D5"/>
    <w:rsid w:val="003D6D3D"/>
    <w:rsid w:val="003E07C7"/>
    <w:rsid w:val="003E51F2"/>
    <w:rsid w:val="003E7386"/>
    <w:rsid w:val="003F0DEE"/>
    <w:rsid w:val="003F2117"/>
    <w:rsid w:val="003F37FD"/>
    <w:rsid w:val="004002B5"/>
    <w:rsid w:val="0040135B"/>
    <w:rsid w:val="00401A30"/>
    <w:rsid w:val="0040460F"/>
    <w:rsid w:val="00410EF6"/>
    <w:rsid w:val="00412849"/>
    <w:rsid w:val="00412AD3"/>
    <w:rsid w:val="00414CD0"/>
    <w:rsid w:val="00415A7F"/>
    <w:rsid w:val="00416628"/>
    <w:rsid w:val="00417514"/>
    <w:rsid w:val="00417DE6"/>
    <w:rsid w:val="00420AB3"/>
    <w:rsid w:val="004241E3"/>
    <w:rsid w:val="004246DF"/>
    <w:rsid w:val="004251FB"/>
    <w:rsid w:val="00426FA8"/>
    <w:rsid w:val="00430E5A"/>
    <w:rsid w:val="0043478F"/>
    <w:rsid w:val="00434B36"/>
    <w:rsid w:val="00435EBB"/>
    <w:rsid w:val="004362FD"/>
    <w:rsid w:val="00442D24"/>
    <w:rsid w:val="00443D99"/>
    <w:rsid w:val="00446939"/>
    <w:rsid w:val="00447911"/>
    <w:rsid w:val="00452220"/>
    <w:rsid w:val="004633C4"/>
    <w:rsid w:val="00463703"/>
    <w:rsid w:val="00466178"/>
    <w:rsid w:val="00467A04"/>
    <w:rsid w:val="00470B01"/>
    <w:rsid w:val="0047290E"/>
    <w:rsid w:val="00477B1E"/>
    <w:rsid w:val="00477CA5"/>
    <w:rsid w:val="00480C11"/>
    <w:rsid w:val="00483BDA"/>
    <w:rsid w:val="00483D03"/>
    <w:rsid w:val="004853CE"/>
    <w:rsid w:val="0048559A"/>
    <w:rsid w:val="00492067"/>
    <w:rsid w:val="00492113"/>
    <w:rsid w:val="00492BDC"/>
    <w:rsid w:val="004966E6"/>
    <w:rsid w:val="004A03A0"/>
    <w:rsid w:val="004A1DE0"/>
    <w:rsid w:val="004A6B7F"/>
    <w:rsid w:val="004A7C2E"/>
    <w:rsid w:val="004B064B"/>
    <w:rsid w:val="004B10C2"/>
    <w:rsid w:val="004B3913"/>
    <w:rsid w:val="004C1275"/>
    <w:rsid w:val="004C1C8B"/>
    <w:rsid w:val="004C224F"/>
    <w:rsid w:val="004C27A9"/>
    <w:rsid w:val="004C74C3"/>
    <w:rsid w:val="004D160B"/>
    <w:rsid w:val="004D1A5F"/>
    <w:rsid w:val="004D39F8"/>
    <w:rsid w:val="004D5592"/>
    <w:rsid w:val="004D58E2"/>
    <w:rsid w:val="004D5AC3"/>
    <w:rsid w:val="004D79E3"/>
    <w:rsid w:val="004E1E43"/>
    <w:rsid w:val="004E53E7"/>
    <w:rsid w:val="004F183D"/>
    <w:rsid w:val="00500B80"/>
    <w:rsid w:val="00501CB0"/>
    <w:rsid w:val="00502C2E"/>
    <w:rsid w:val="00505756"/>
    <w:rsid w:val="005149D8"/>
    <w:rsid w:val="005164A4"/>
    <w:rsid w:val="00517D6C"/>
    <w:rsid w:val="005221A3"/>
    <w:rsid w:val="005245BE"/>
    <w:rsid w:val="0052793D"/>
    <w:rsid w:val="00527D61"/>
    <w:rsid w:val="00530364"/>
    <w:rsid w:val="0053192F"/>
    <w:rsid w:val="00534CA5"/>
    <w:rsid w:val="005358DE"/>
    <w:rsid w:val="00540A29"/>
    <w:rsid w:val="00540BD6"/>
    <w:rsid w:val="00540F4A"/>
    <w:rsid w:val="00543F50"/>
    <w:rsid w:val="0054447F"/>
    <w:rsid w:val="005465D5"/>
    <w:rsid w:val="0054662E"/>
    <w:rsid w:val="00547749"/>
    <w:rsid w:val="00550164"/>
    <w:rsid w:val="00550A1E"/>
    <w:rsid w:val="005523CB"/>
    <w:rsid w:val="005535B4"/>
    <w:rsid w:val="0055628B"/>
    <w:rsid w:val="0055734E"/>
    <w:rsid w:val="0055744A"/>
    <w:rsid w:val="00557572"/>
    <w:rsid w:val="0056146D"/>
    <w:rsid w:val="0056335B"/>
    <w:rsid w:val="0056417B"/>
    <w:rsid w:val="00565AF4"/>
    <w:rsid w:val="00566D65"/>
    <w:rsid w:val="00571276"/>
    <w:rsid w:val="00571CFE"/>
    <w:rsid w:val="00575CB9"/>
    <w:rsid w:val="00580078"/>
    <w:rsid w:val="005802F5"/>
    <w:rsid w:val="00580983"/>
    <w:rsid w:val="00582224"/>
    <w:rsid w:val="0058412C"/>
    <w:rsid w:val="00592129"/>
    <w:rsid w:val="00593D6C"/>
    <w:rsid w:val="0059563D"/>
    <w:rsid w:val="005977F7"/>
    <w:rsid w:val="005A6BC8"/>
    <w:rsid w:val="005A7C77"/>
    <w:rsid w:val="005B0D35"/>
    <w:rsid w:val="005B3BDD"/>
    <w:rsid w:val="005B3E0B"/>
    <w:rsid w:val="005B40D9"/>
    <w:rsid w:val="005C15A6"/>
    <w:rsid w:val="005C3B9E"/>
    <w:rsid w:val="005C6BFA"/>
    <w:rsid w:val="005C7292"/>
    <w:rsid w:val="005D019B"/>
    <w:rsid w:val="005D11AB"/>
    <w:rsid w:val="005D159C"/>
    <w:rsid w:val="005D2B19"/>
    <w:rsid w:val="005D2BF3"/>
    <w:rsid w:val="005E0C3C"/>
    <w:rsid w:val="005E12F6"/>
    <w:rsid w:val="005E16C0"/>
    <w:rsid w:val="005E3BEC"/>
    <w:rsid w:val="005E74B6"/>
    <w:rsid w:val="005E7A46"/>
    <w:rsid w:val="005F03EF"/>
    <w:rsid w:val="005F17C0"/>
    <w:rsid w:val="005F328E"/>
    <w:rsid w:val="005F5F3E"/>
    <w:rsid w:val="00601083"/>
    <w:rsid w:val="00601F25"/>
    <w:rsid w:val="00602B10"/>
    <w:rsid w:val="00607669"/>
    <w:rsid w:val="00616F40"/>
    <w:rsid w:val="0063039D"/>
    <w:rsid w:val="006315EE"/>
    <w:rsid w:val="00632427"/>
    <w:rsid w:val="006326DF"/>
    <w:rsid w:val="00633EE6"/>
    <w:rsid w:val="0063593C"/>
    <w:rsid w:val="0063746E"/>
    <w:rsid w:val="006409B7"/>
    <w:rsid w:val="00643374"/>
    <w:rsid w:val="0064369A"/>
    <w:rsid w:val="006437CF"/>
    <w:rsid w:val="006444C8"/>
    <w:rsid w:val="00645A46"/>
    <w:rsid w:val="00647E21"/>
    <w:rsid w:val="0065247E"/>
    <w:rsid w:val="006528EE"/>
    <w:rsid w:val="00655B63"/>
    <w:rsid w:val="00663FA9"/>
    <w:rsid w:val="00664B5F"/>
    <w:rsid w:val="00666C34"/>
    <w:rsid w:val="006700AA"/>
    <w:rsid w:val="00684A0A"/>
    <w:rsid w:val="0068536D"/>
    <w:rsid w:val="00685C78"/>
    <w:rsid w:val="00687192"/>
    <w:rsid w:val="00687D97"/>
    <w:rsid w:val="006903B9"/>
    <w:rsid w:val="00690E1D"/>
    <w:rsid w:val="00691D7D"/>
    <w:rsid w:val="00691E64"/>
    <w:rsid w:val="00692096"/>
    <w:rsid w:val="006A2F35"/>
    <w:rsid w:val="006A331C"/>
    <w:rsid w:val="006A51B8"/>
    <w:rsid w:val="006B0245"/>
    <w:rsid w:val="006B0F39"/>
    <w:rsid w:val="006B13D4"/>
    <w:rsid w:val="006B1B4E"/>
    <w:rsid w:val="006B3F2D"/>
    <w:rsid w:val="006B4947"/>
    <w:rsid w:val="006B797F"/>
    <w:rsid w:val="006C02B3"/>
    <w:rsid w:val="006C0476"/>
    <w:rsid w:val="006C0B62"/>
    <w:rsid w:val="006C0F66"/>
    <w:rsid w:val="006C1CD6"/>
    <w:rsid w:val="006C435E"/>
    <w:rsid w:val="006D14A1"/>
    <w:rsid w:val="006D2520"/>
    <w:rsid w:val="006D69E6"/>
    <w:rsid w:val="006E057A"/>
    <w:rsid w:val="006E3802"/>
    <w:rsid w:val="006E7FDD"/>
    <w:rsid w:val="006F1218"/>
    <w:rsid w:val="006F39B5"/>
    <w:rsid w:val="006F702C"/>
    <w:rsid w:val="006F7C6E"/>
    <w:rsid w:val="007030CB"/>
    <w:rsid w:val="007061C9"/>
    <w:rsid w:val="00710343"/>
    <w:rsid w:val="00713DBC"/>
    <w:rsid w:val="00715D09"/>
    <w:rsid w:val="00723DAA"/>
    <w:rsid w:val="00730563"/>
    <w:rsid w:val="007307A9"/>
    <w:rsid w:val="007361FC"/>
    <w:rsid w:val="00736706"/>
    <w:rsid w:val="0074237A"/>
    <w:rsid w:val="007424F6"/>
    <w:rsid w:val="00744BB8"/>
    <w:rsid w:val="0074506A"/>
    <w:rsid w:val="0075026C"/>
    <w:rsid w:val="007541FC"/>
    <w:rsid w:val="00765216"/>
    <w:rsid w:val="00765A8D"/>
    <w:rsid w:val="00767DC1"/>
    <w:rsid w:val="00773EA4"/>
    <w:rsid w:val="00781F75"/>
    <w:rsid w:val="00782FFE"/>
    <w:rsid w:val="0078484D"/>
    <w:rsid w:val="00785AD1"/>
    <w:rsid w:val="00786E4B"/>
    <w:rsid w:val="00791F03"/>
    <w:rsid w:val="007A0F5F"/>
    <w:rsid w:val="007A0FC3"/>
    <w:rsid w:val="007A2BF7"/>
    <w:rsid w:val="007A37F1"/>
    <w:rsid w:val="007B2F34"/>
    <w:rsid w:val="007B3FAB"/>
    <w:rsid w:val="007B7FB1"/>
    <w:rsid w:val="007C02CD"/>
    <w:rsid w:val="007C0B14"/>
    <w:rsid w:val="007C3C69"/>
    <w:rsid w:val="007D23C9"/>
    <w:rsid w:val="007D4510"/>
    <w:rsid w:val="007D47AB"/>
    <w:rsid w:val="007D53F1"/>
    <w:rsid w:val="007D6D9B"/>
    <w:rsid w:val="007D7DB2"/>
    <w:rsid w:val="007E1D15"/>
    <w:rsid w:val="007E1DCE"/>
    <w:rsid w:val="007E24BE"/>
    <w:rsid w:val="007E3C40"/>
    <w:rsid w:val="007E53F3"/>
    <w:rsid w:val="007F1018"/>
    <w:rsid w:val="007F1348"/>
    <w:rsid w:val="007F1B44"/>
    <w:rsid w:val="007F319F"/>
    <w:rsid w:val="007F69DA"/>
    <w:rsid w:val="0081265C"/>
    <w:rsid w:val="008139D7"/>
    <w:rsid w:val="00813B5C"/>
    <w:rsid w:val="00813F38"/>
    <w:rsid w:val="00814445"/>
    <w:rsid w:val="00814715"/>
    <w:rsid w:val="00820415"/>
    <w:rsid w:val="00823CFB"/>
    <w:rsid w:val="008255DD"/>
    <w:rsid w:val="0082759E"/>
    <w:rsid w:val="00827F82"/>
    <w:rsid w:val="0083062F"/>
    <w:rsid w:val="00831203"/>
    <w:rsid w:val="008343A2"/>
    <w:rsid w:val="00834C83"/>
    <w:rsid w:val="0083650E"/>
    <w:rsid w:val="00837826"/>
    <w:rsid w:val="008476C4"/>
    <w:rsid w:val="00847786"/>
    <w:rsid w:val="00851826"/>
    <w:rsid w:val="00851F6B"/>
    <w:rsid w:val="008526E0"/>
    <w:rsid w:val="00853AE7"/>
    <w:rsid w:val="00853C86"/>
    <w:rsid w:val="00856175"/>
    <w:rsid w:val="00860A17"/>
    <w:rsid w:val="008627D5"/>
    <w:rsid w:val="00863A90"/>
    <w:rsid w:val="00865B3C"/>
    <w:rsid w:val="00866C8E"/>
    <w:rsid w:val="00867997"/>
    <w:rsid w:val="00870FF6"/>
    <w:rsid w:val="00874D9E"/>
    <w:rsid w:val="00881170"/>
    <w:rsid w:val="0088138A"/>
    <w:rsid w:val="008815B5"/>
    <w:rsid w:val="00881683"/>
    <w:rsid w:val="00883B9A"/>
    <w:rsid w:val="00883FF3"/>
    <w:rsid w:val="008855A3"/>
    <w:rsid w:val="00886F82"/>
    <w:rsid w:val="00887D2A"/>
    <w:rsid w:val="0089183B"/>
    <w:rsid w:val="00893155"/>
    <w:rsid w:val="0089329E"/>
    <w:rsid w:val="008963BB"/>
    <w:rsid w:val="008A04A1"/>
    <w:rsid w:val="008A3477"/>
    <w:rsid w:val="008A7A25"/>
    <w:rsid w:val="008B11FF"/>
    <w:rsid w:val="008B1E3A"/>
    <w:rsid w:val="008B6904"/>
    <w:rsid w:val="008C30E5"/>
    <w:rsid w:val="008C320C"/>
    <w:rsid w:val="008C47A2"/>
    <w:rsid w:val="008C5709"/>
    <w:rsid w:val="008D0519"/>
    <w:rsid w:val="008D7E9F"/>
    <w:rsid w:val="008D7F1A"/>
    <w:rsid w:val="008E0053"/>
    <w:rsid w:val="008E0194"/>
    <w:rsid w:val="008E4C27"/>
    <w:rsid w:val="008E56EB"/>
    <w:rsid w:val="008E7550"/>
    <w:rsid w:val="008F053A"/>
    <w:rsid w:val="008F2E6B"/>
    <w:rsid w:val="008F4AE7"/>
    <w:rsid w:val="008F4D40"/>
    <w:rsid w:val="008F513D"/>
    <w:rsid w:val="008F6B71"/>
    <w:rsid w:val="008F7361"/>
    <w:rsid w:val="009012C6"/>
    <w:rsid w:val="0090296E"/>
    <w:rsid w:val="00902B00"/>
    <w:rsid w:val="00902EF8"/>
    <w:rsid w:val="00907806"/>
    <w:rsid w:val="00912405"/>
    <w:rsid w:val="00912939"/>
    <w:rsid w:val="00913438"/>
    <w:rsid w:val="009148FC"/>
    <w:rsid w:val="00920158"/>
    <w:rsid w:val="00920A09"/>
    <w:rsid w:val="00922558"/>
    <w:rsid w:val="0092547A"/>
    <w:rsid w:val="00925976"/>
    <w:rsid w:val="00925CF3"/>
    <w:rsid w:val="00930D81"/>
    <w:rsid w:val="00932886"/>
    <w:rsid w:val="00932A85"/>
    <w:rsid w:val="00932B01"/>
    <w:rsid w:val="0093305A"/>
    <w:rsid w:val="009345BB"/>
    <w:rsid w:val="00936BBC"/>
    <w:rsid w:val="00937B73"/>
    <w:rsid w:val="009422B1"/>
    <w:rsid w:val="00943DE5"/>
    <w:rsid w:val="00945DC8"/>
    <w:rsid w:val="00946DEF"/>
    <w:rsid w:val="0095129E"/>
    <w:rsid w:val="00955976"/>
    <w:rsid w:val="00957557"/>
    <w:rsid w:val="00957D4E"/>
    <w:rsid w:val="00964597"/>
    <w:rsid w:val="0096620A"/>
    <w:rsid w:val="0096664F"/>
    <w:rsid w:val="00971631"/>
    <w:rsid w:val="00973A9E"/>
    <w:rsid w:val="00973EE2"/>
    <w:rsid w:val="00976B03"/>
    <w:rsid w:val="0097702C"/>
    <w:rsid w:val="009851EE"/>
    <w:rsid w:val="00986B02"/>
    <w:rsid w:val="00990548"/>
    <w:rsid w:val="00991DF9"/>
    <w:rsid w:val="009929CE"/>
    <w:rsid w:val="0099432A"/>
    <w:rsid w:val="00994672"/>
    <w:rsid w:val="0099753B"/>
    <w:rsid w:val="009A143A"/>
    <w:rsid w:val="009A202F"/>
    <w:rsid w:val="009A3656"/>
    <w:rsid w:val="009A4594"/>
    <w:rsid w:val="009A6893"/>
    <w:rsid w:val="009B371F"/>
    <w:rsid w:val="009B5DB9"/>
    <w:rsid w:val="009C7CC9"/>
    <w:rsid w:val="009D0F49"/>
    <w:rsid w:val="009D1EF9"/>
    <w:rsid w:val="009D28F0"/>
    <w:rsid w:val="009D46B2"/>
    <w:rsid w:val="009D4C86"/>
    <w:rsid w:val="009D52F6"/>
    <w:rsid w:val="009D7C6F"/>
    <w:rsid w:val="009E08EB"/>
    <w:rsid w:val="009E362F"/>
    <w:rsid w:val="009E79DB"/>
    <w:rsid w:val="009F10EF"/>
    <w:rsid w:val="00A01E2D"/>
    <w:rsid w:val="00A0352E"/>
    <w:rsid w:val="00A03F78"/>
    <w:rsid w:val="00A1208A"/>
    <w:rsid w:val="00A151E0"/>
    <w:rsid w:val="00A166B6"/>
    <w:rsid w:val="00A16FC2"/>
    <w:rsid w:val="00A231D9"/>
    <w:rsid w:val="00A24F3A"/>
    <w:rsid w:val="00A25D14"/>
    <w:rsid w:val="00A301D0"/>
    <w:rsid w:val="00A317A3"/>
    <w:rsid w:val="00A325DC"/>
    <w:rsid w:val="00A36314"/>
    <w:rsid w:val="00A3631C"/>
    <w:rsid w:val="00A44061"/>
    <w:rsid w:val="00A44D3D"/>
    <w:rsid w:val="00A47254"/>
    <w:rsid w:val="00A50A5F"/>
    <w:rsid w:val="00A50C12"/>
    <w:rsid w:val="00A51310"/>
    <w:rsid w:val="00A51821"/>
    <w:rsid w:val="00A56D51"/>
    <w:rsid w:val="00A575B9"/>
    <w:rsid w:val="00A57837"/>
    <w:rsid w:val="00A60AD9"/>
    <w:rsid w:val="00A62889"/>
    <w:rsid w:val="00A65F30"/>
    <w:rsid w:val="00A762BE"/>
    <w:rsid w:val="00A76C11"/>
    <w:rsid w:val="00A8032A"/>
    <w:rsid w:val="00A827E8"/>
    <w:rsid w:val="00A87A9F"/>
    <w:rsid w:val="00A94155"/>
    <w:rsid w:val="00A94D11"/>
    <w:rsid w:val="00A9623D"/>
    <w:rsid w:val="00A97EF6"/>
    <w:rsid w:val="00AA5CF0"/>
    <w:rsid w:val="00AA6307"/>
    <w:rsid w:val="00AB1836"/>
    <w:rsid w:val="00AB4337"/>
    <w:rsid w:val="00AB5798"/>
    <w:rsid w:val="00AB7C02"/>
    <w:rsid w:val="00AC01DB"/>
    <w:rsid w:val="00AC1C8E"/>
    <w:rsid w:val="00AC5213"/>
    <w:rsid w:val="00AC61DF"/>
    <w:rsid w:val="00AC6F68"/>
    <w:rsid w:val="00AC7633"/>
    <w:rsid w:val="00AD11D9"/>
    <w:rsid w:val="00AD145F"/>
    <w:rsid w:val="00AD1B50"/>
    <w:rsid w:val="00AD229B"/>
    <w:rsid w:val="00AD2780"/>
    <w:rsid w:val="00AD2DD5"/>
    <w:rsid w:val="00AE00EA"/>
    <w:rsid w:val="00AE1518"/>
    <w:rsid w:val="00AE2BA2"/>
    <w:rsid w:val="00AE2F24"/>
    <w:rsid w:val="00AE6B70"/>
    <w:rsid w:val="00AE7DEF"/>
    <w:rsid w:val="00AF36CF"/>
    <w:rsid w:val="00AF4255"/>
    <w:rsid w:val="00AF4472"/>
    <w:rsid w:val="00B0174A"/>
    <w:rsid w:val="00B05A38"/>
    <w:rsid w:val="00B13A95"/>
    <w:rsid w:val="00B1440E"/>
    <w:rsid w:val="00B15174"/>
    <w:rsid w:val="00B17959"/>
    <w:rsid w:val="00B17BC8"/>
    <w:rsid w:val="00B22177"/>
    <w:rsid w:val="00B237BF"/>
    <w:rsid w:val="00B24DA3"/>
    <w:rsid w:val="00B272FF"/>
    <w:rsid w:val="00B274A8"/>
    <w:rsid w:val="00B2798F"/>
    <w:rsid w:val="00B32D6C"/>
    <w:rsid w:val="00B34F29"/>
    <w:rsid w:val="00B36A7F"/>
    <w:rsid w:val="00B40C51"/>
    <w:rsid w:val="00B43021"/>
    <w:rsid w:val="00B46940"/>
    <w:rsid w:val="00B52790"/>
    <w:rsid w:val="00B52CDE"/>
    <w:rsid w:val="00B54FF2"/>
    <w:rsid w:val="00B552B0"/>
    <w:rsid w:val="00B552B8"/>
    <w:rsid w:val="00B55C3C"/>
    <w:rsid w:val="00B61FE1"/>
    <w:rsid w:val="00B62168"/>
    <w:rsid w:val="00B63EDF"/>
    <w:rsid w:val="00B73607"/>
    <w:rsid w:val="00B73CC2"/>
    <w:rsid w:val="00B74380"/>
    <w:rsid w:val="00B75D09"/>
    <w:rsid w:val="00B76FAF"/>
    <w:rsid w:val="00B777B7"/>
    <w:rsid w:val="00B8033A"/>
    <w:rsid w:val="00B80454"/>
    <w:rsid w:val="00B831BD"/>
    <w:rsid w:val="00B86346"/>
    <w:rsid w:val="00B904E5"/>
    <w:rsid w:val="00B91F01"/>
    <w:rsid w:val="00B92724"/>
    <w:rsid w:val="00B94458"/>
    <w:rsid w:val="00B94EBC"/>
    <w:rsid w:val="00B952AD"/>
    <w:rsid w:val="00B97B03"/>
    <w:rsid w:val="00B97BF2"/>
    <w:rsid w:val="00BA37D8"/>
    <w:rsid w:val="00BA4123"/>
    <w:rsid w:val="00BA59C3"/>
    <w:rsid w:val="00BA7257"/>
    <w:rsid w:val="00BB03DB"/>
    <w:rsid w:val="00BC07F8"/>
    <w:rsid w:val="00BC1857"/>
    <w:rsid w:val="00BC3782"/>
    <w:rsid w:val="00BC40D5"/>
    <w:rsid w:val="00BD1444"/>
    <w:rsid w:val="00BD31A8"/>
    <w:rsid w:val="00BD3ABC"/>
    <w:rsid w:val="00BD6471"/>
    <w:rsid w:val="00BD77E9"/>
    <w:rsid w:val="00BE249D"/>
    <w:rsid w:val="00BE3047"/>
    <w:rsid w:val="00BE6613"/>
    <w:rsid w:val="00BE6A60"/>
    <w:rsid w:val="00BF3A4E"/>
    <w:rsid w:val="00BF60FB"/>
    <w:rsid w:val="00C00389"/>
    <w:rsid w:val="00C01E92"/>
    <w:rsid w:val="00C02ED5"/>
    <w:rsid w:val="00C0614B"/>
    <w:rsid w:val="00C1054A"/>
    <w:rsid w:val="00C1265C"/>
    <w:rsid w:val="00C153F0"/>
    <w:rsid w:val="00C17CD4"/>
    <w:rsid w:val="00C20347"/>
    <w:rsid w:val="00C20491"/>
    <w:rsid w:val="00C249B6"/>
    <w:rsid w:val="00C3065B"/>
    <w:rsid w:val="00C308A6"/>
    <w:rsid w:val="00C33344"/>
    <w:rsid w:val="00C355AC"/>
    <w:rsid w:val="00C4332C"/>
    <w:rsid w:val="00C469C0"/>
    <w:rsid w:val="00C504E8"/>
    <w:rsid w:val="00C50D6F"/>
    <w:rsid w:val="00C51EDB"/>
    <w:rsid w:val="00C536A4"/>
    <w:rsid w:val="00C53781"/>
    <w:rsid w:val="00C54580"/>
    <w:rsid w:val="00C60440"/>
    <w:rsid w:val="00C64576"/>
    <w:rsid w:val="00C679DC"/>
    <w:rsid w:val="00C7005D"/>
    <w:rsid w:val="00C70146"/>
    <w:rsid w:val="00C7450B"/>
    <w:rsid w:val="00C74A31"/>
    <w:rsid w:val="00C7632D"/>
    <w:rsid w:val="00C8334B"/>
    <w:rsid w:val="00C84541"/>
    <w:rsid w:val="00C86243"/>
    <w:rsid w:val="00C864A4"/>
    <w:rsid w:val="00C872E9"/>
    <w:rsid w:val="00C87E30"/>
    <w:rsid w:val="00C90629"/>
    <w:rsid w:val="00C923DE"/>
    <w:rsid w:val="00C954BA"/>
    <w:rsid w:val="00C96255"/>
    <w:rsid w:val="00CA10E2"/>
    <w:rsid w:val="00CA3F0B"/>
    <w:rsid w:val="00CA539E"/>
    <w:rsid w:val="00CB28DC"/>
    <w:rsid w:val="00CB3E4B"/>
    <w:rsid w:val="00CB70D4"/>
    <w:rsid w:val="00CC0911"/>
    <w:rsid w:val="00CC0A40"/>
    <w:rsid w:val="00CC2279"/>
    <w:rsid w:val="00CC510A"/>
    <w:rsid w:val="00CC6AED"/>
    <w:rsid w:val="00CC79D8"/>
    <w:rsid w:val="00CC7F66"/>
    <w:rsid w:val="00CD39F1"/>
    <w:rsid w:val="00CD75A1"/>
    <w:rsid w:val="00CE58B5"/>
    <w:rsid w:val="00CE6B18"/>
    <w:rsid w:val="00CF02CF"/>
    <w:rsid w:val="00CF1895"/>
    <w:rsid w:val="00CF3B98"/>
    <w:rsid w:val="00CF7F18"/>
    <w:rsid w:val="00D07BD8"/>
    <w:rsid w:val="00D10386"/>
    <w:rsid w:val="00D1111F"/>
    <w:rsid w:val="00D11A3A"/>
    <w:rsid w:val="00D12092"/>
    <w:rsid w:val="00D1254A"/>
    <w:rsid w:val="00D129E3"/>
    <w:rsid w:val="00D17D3B"/>
    <w:rsid w:val="00D20008"/>
    <w:rsid w:val="00D222A5"/>
    <w:rsid w:val="00D24F08"/>
    <w:rsid w:val="00D250BC"/>
    <w:rsid w:val="00D269AA"/>
    <w:rsid w:val="00D3186E"/>
    <w:rsid w:val="00D33180"/>
    <w:rsid w:val="00D33C6C"/>
    <w:rsid w:val="00D33CD0"/>
    <w:rsid w:val="00D4449E"/>
    <w:rsid w:val="00D4537A"/>
    <w:rsid w:val="00D46898"/>
    <w:rsid w:val="00D46C93"/>
    <w:rsid w:val="00D502CE"/>
    <w:rsid w:val="00D54001"/>
    <w:rsid w:val="00D540A6"/>
    <w:rsid w:val="00D5718F"/>
    <w:rsid w:val="00D63F8D"/>
    <w:rsid w:val="00D64D58"/>
    <w:rsid w:val="00D65652"/>
    <w:rsid w:val="00D6650F"/>
    <w:rsid w:val="00D67A7E"/>
    <w:rsid w:val="00D74FD8"/>
    <w:rsid w:val="00D81612"/>
    <w:rsid w:val="00D87391"/>
    <w:rsid w:val="00D87864"/>
    <w:rsid w:val="00D90C52"/>
    <w:rsid w:val="00DA03AB"/>
    <w:rsid w:val="00DA090A"/>
    <w:rsid w:val="00DA3861"/>
    <w:rsid w:val="00DB08A0"/>
    <w:rsid w:val="00DB4093"/>
    <w:rsid w:val="00DB446A"/>
    <w:rsid w:val="00DB51B0"/>
    <w:rsid w:val="00DB55E1"/>
    <w:rsid w:val="00DC0E81"/>
    <w:rsid w:val="00DC1CCE"/>
    <w:rsid w:val="00DC2289"/>
    <w:rsid w:val="00DC5631"/>
    <w:rsid w:val="00DC6A63"/>
    <w:rsid w:val="00DC7BC0"/>
    <w:rsid w:val="00DD013F"/>
    <w:rsid w:val="00DD0F79"/>
    <w:rsid w:val="00DD1881"/>
    <w:rsid w:val="00DD1C95"/>
    <w:rsid w:val="00DD39BB"/>
    <w:rsid w:val="00DD4EFD"/>
    <w:rsid w:val="00DD5B98"/>
    <w:rsid w:val="00DD6FC0"/>
    <w:rsid w:val="00DE0869"/>
    <w:rsid w:val="00DE0CAA"/>
    <w:rsid w:val="00DE1F3D"/>
    <w:rsid w:val="00DE5A4A"/>
    <w:rsid w:val="00DE6F6C"/>
    <w:rsid w:val="00DE7198"/>
    <w:rsid w:val="00DE73AB"/>
    <w:rsid w:val="00DE7542"/>
    <w:rsid w:val="00DF44EE"/>
    <w:rsid w:val="00DF5422"/>
    <w:rsid w:val="00DF5A67"/>
    <w:rsid w:val="00DF74AD"/>
    <w:rsid w:val="00E02D15"/>
    <w:rsid w:val="00E030A9"/>
    <w:rsid w:val="00E14DF1"/>
    <w:rsid w:val="00E173C6"/>
    <w:rsid w:val="00E21A6E"/>
    <w:rsid w:val="00E22DAB"/>
    <w:rsid w:val="00E24AD5"/>
    <w:rsid w:val="00E24B09"/>
    <w:rsid w:val="00E30735"/>
    <w:rsid w:val="00E30844"/>
    <w:rsid w:val="00E32242"/>
    <w:rsid w:val="00E33248"/>
    <w:rsid w:val="00E33B10"/>
    <w:rsid w:val="00E409EC"/>
    <w:rsid w:val="00E4182B"/>
    <w:rsid w:val="00E429F8"/>
    <w:rsid w:val="00E43A40"/>
    <w:rsid w:val="00E43FE8"/>
    <w:rsid w:val="00E47991"/>
    <w:rsid w:val="00E5005E"/>
    <w:rsid w:val="00E5247A"/>
    <w:rsid w:val="00E52958"/>
    <w:rsid w:val="00E52CA0"/>
    <w:rsid w:val="00E61019"/>
    <w:rsid w:val="00E62A4C"/>
    <w:rsid w:val="00E635B2"/>
    <w:rsid w:val="00E6470B"/>
    <w:rsid w:val="00E6553B"/>
    <w:rsid w:val="00E65E83"/>
    <w:rsid w:val="00E662D5"/>
    <w:rsid w:val="00E74831"/>
    <w:rsid w:val="00E76317"/>
    <w:rsid w:val="00E77779"/>
    <w:rsid w:val="00E81A1A"/>
    <w:rsid w:val="00E829E8"/>
    <w:rsid w:val="00E829F2"/>
    <w:rsid w:val="00E83F4C"/>
    <w:rsid w:val="00E9014E"/>
    <w:rsid w:val="00E950CC"/>
    <w:rsid w:val="00E96131"/>
    <w:rsid w:val="00E967A3"/>
    <w:rsid w:val="00EA072C"/>
    <w:rsid w:val="00EA0AB2"/>
    <w:rsid w:val="00EA2458"/>
    <w:rsid w:val="00EA387C"/>
    <w:rsid w:val="00EA5C95"/>
    <w:rsid w:val="00EA6199"/>
    <w:rsid w:val="00EA733B"/>
    <w:rsid w:val="00EB2C5F"/>
    <w:rsid w:val="00EB2CF3"/>
    <w:rsid w:val="00EB34C8"/>
    <w:rsid w:val="00EB3CBF"/>
    <w:rsid w:val="00EB5ECF"/>
    <w:rsid w:val="00EC1E69"/>
    <w:rsid w:val="00EC2D5A"/>
    <w:rsid w:val="00EC37C2"/>
    <w:rsid w:val="00EC563D"/>
    <w:rsid w:val="00EC7E00"/>
    <w:rsid w:val="00ED37BA"/>
    <w:rsid w:val="00ED6DA6"/>
    <w:rsid w:val="00EE4796"/>
    <w:rsid w:val="00EE7EA6"/>
    <w:rsid w:val="00EF0BAE"/>
    <w:rsid w:val="00EF1056"/>
    <w:rsid w:val="00EF3CB5"/>
    <w:rsid w:val="00F01E36"/>
    <w:rsid w:val="00F0230F"/>
    <w:rsid w:val="00F0273E"/>
    <w:rsid w:val="00F02E20"/>
    <w:rsid w:val="00F04153"/>
    <w:rsid w:val="00F04DE4"/>
    <w:rsid w:val="00F123B7"/>
    <w:rsid w:val="00F139B2"/>
    <w:rsid w:val="00F14AD4"/>
    <w:rsid w:val="00F14B40"/>
    <w:rsid w:val="00F15A50"/>
    <w:rsid w:val="00F15D32"/>
    <w:rsid w:val="00F1677A"/>
    <w:rsid w:val="00F2153C"/>
    <w:rsid w:val="00F21554"/>
    <w:rsid w:val="00F26A95"/>
    <w:rsid w:val="00F27734"/>
    <w:rsid w:val="00F31C08"/>
    <w:rsid w:val="00F32E35"/>
    <w:rsid w:val="00F34705"/>
    <w:rsid w:val="00F36780"/>
    <w:rsid w:val="00F41759"/>
    <w:rsid w:val="00F42A4A"/>
    <w:rsid w:val="00F50AFA"/>
    <w:rsid w:val="00F51A38"/>
    <w:rsid w:val="00F53858"/>
    <w:rsid w:val="00F53A39"/>
    <w:rsid w:val="00F567C1"/>
    <w:rsid w:val="00F57B64"/>
    <w:rsid w:val="00F6331B"/>
    <w:rsid w:val="00F636EE"/>
    <w:rsid w:val="00F7055E"/>
    <w:rsid w:val="00F706A1"/>
    <w:rsid w:val="00F735AF"/>
    <w:rsid w:val="00F7456B"/>
    <w:rsid w:val="00F7751E"/>
    <w:rsid w:val="00F8390F"/>
    <w:rsid w:val="00F848AC"/>
    <w:rsid w:val="00F87A18"/>
    <w:rsid w:val="00F87C67"/>
    <w:rsid w:val="00F87CFE"/>
    <w:rsid w:val="00F92504"/>
    <w:rsid w:val="00F92D8C"/>
    <w:rsid w:val="00F9390F"/>
    <w:rsid w:val="00F939EC"/>
    <w:rsid w:val="00F9491A"/>
    <w:rsid w:val="00F9606B"/>
    <w:rsid w:val="00F9692D"/>
    <w:rsid w:val="00F96E87"/>
    <w:rsid w:val="00F97401"/>
    <w:rsid w:val="00FB1177"/>
    <w:rsid w:val="00FB2DAC"/>
    <w:rsid w:val="00FB6128"/>
    <w:rsid w:val="00FB6246"/>
    <w:rsid w:val="00FB716D"/>
    <w:rsid w:val="00FB7218"/>
    <w:rsid w:val="00FC2E06"/>
    <w:rsid w:val="00FC416C"/>
    <w:rsid w:val="00FC4E5A"/>
    <w:rsid w:val="00FC7E88"/>
    <w:rsid w:val="00FD0B30"/>
    <w:rsid w:val="00FD2848"/>
    <w:rsid w:val="00FD69F3"/>
    <w:rsid w:val="00FE37D9"/>
    <w:rsid w:val="00FE3E6C"/>
    <w:rsid w:val="00FE49C4"/>
    <w:rsid w:val="00FF1EA8"/>
    <w:rsid w:val="00FF2AB4"/>
    <w:rsid w:val="00FF355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  <w:style w:type="paragraph" w:styleId="ae">
    <w:name w:val="List Paragraph"/>
    <w:basedOn w:val="a"/>
    <w:uiPriority w:val="34"/>
    <w:qFormat/>
    <w:rsid w:val="00893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  <w:style w:type="paragraph" w:styleId="ae">
    <w:name w:val="List Paragraph"/>
    <w:basedOn w:val="a"/>
    <w:uiPriority w:val="34"/>
    <w:qFormat/>
    <w:rsid w:val="0089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5;&#1088;&#1091;&#1076;&#1077;&#1085;&#1100;\&#1058;&#1077;&#1084;&#1087;&#1080;%20&#1088;&#1086;&#1089;&#1090;&#1091;%20&#1076;&#1086;&#1093;&#1086;&#1076;&#1110;&#107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5;&#1088;&#1091;&#1076;&#1077;&#1085;&#1100;\&#1042;&#1080;&#1082;&#1086;&#1085;&#1072;&#1085;&#1085;&#1103;%20&#1076;&#1086;&#1093;&#1086;&#1076;&#1110;&#1074;%20&#1047;&#1060;%20&#1074;%20&#1090;&#1080;&#1089;.&#1075;&#1088;&#1080;&#1074;&#1077;&#1085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5;&#1088;&#1091;&#1076;&#1077;&#1085;&#1100;\&#1074;&#1080;&#1082;&#1086;&#1085;&#1072;&#1085;&#1085;&#1103;%20&#1076;&#1086;&#1093;&#1086;&#1076;&#1110;&#1074;%20&#1089;&#1087;&#1077;&#1094;.%20&#1092;&#1086;&#1085;&#1076;%20&#1090;&#1080;&#1089;.&#1075;&#1088;&#1080;&#1074;&#1077;&#1085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3;&#1080;&#1089;&#1090;&#1086;&#1087;&#1072;&#1076;\&#1042;&#1080;&#1082;&#1086;&#1085;&#1072;&#1085;&#1085;&#1103;%20&#1074;&#1080;&#1076;&#1072;&#1090;&#1082;&#1110;&#1074;%20&#1047;&#106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9;&#1077;&#1088;&#1087;&#1077;&#1085;&#1100;\&#1047;&#1074;&#1077;&#1076;&#1077;&#1085;&#1080;&#1081;%20&#1087;&#1086;%20&#1088;&#1072;&#1081;&#1086;&#1085;&#1091;%20&#1076;&#1083;&#1103;%20&#1075;&#1086;&#1083;&#1086;&#1074;&#1080;%20&#1090;&#1080;&#1089;.&#1075;&#1088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Аналіз темпів росту надходжень бюджету Теофіпольської селищної територіальної громади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9012946071958398"/>
          <c:y val="1.461844945622006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</c:spPr>
    </c:sideWall>
    <c:backWall>
      <c:thickness val="0"/>
      <c:spPr>
        <a:solidFill>
          <a:schemeClr val="tx2">
            <a:lumMod val="20000"/>
            <a:lumOff val="80000"/>
          </a:schemeClr>
        </a:solidFill>
      </c:spPr>
    </c:backWall>
    <c:plotArea>
      <c:layout>
        <c:manualLayout>
          <c:layoutTarget val="inner"/>
          <c:xMode val="edge"/>
          <c:yMode val="edge"/>
          <c:x val="0.19503051351536832"/>
          <c:y val="0.15956152217265271"/>
          <c:w val="0.8049695146011695"/>
          <c:h val="0.426980447573306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Фактично надійшло 
станом на 01.01.2021 року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Внутріш-ні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адмініст-ративних послуг</c:v>
                </c:pt>
                <c:pt idx="6">
                  <c:v>Інші надход-ження</c:v>
                </c:pt>
                <c:pt idx="7">
                  <c:v>Екологіч-ний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Лист1!$C$5:$C$14</c:f>
              <c:numCache>
                <c:formatCode>#,##0.0_);\-#,##0.0</c:formatCode>
                <c:ptCount val="10"/>
                <c:pt idx="0">
                  <c:v>66768.17</c:v>
                </c:pt>
                <c:pt idx="1">
                  <c:v>3772.1</c:v>
                </c:pt>
                <c:pt idx="2">
                  <c:v>3026.45</c:v>
                </c:pt>
                <c:pt idx="3">
                  <c:v>9368</c:v>
                </c:pt>
                <c:pt idx="4">
                  <c:v>25964.82</c:v>
                </c:pt>
                <c:pt idx="5">
                  <c:v>2044.94</c:v>
                </c:pt>
                <c:pt idx="6">
                  <c:v>790.99</c:v>
                </c:pt>
                <c:pt idx="7">
                  <c:v>232.69</c:v>
                </c:pt>
                <c:pt idx="8">
                  <c:v>448.54899999999998</c:v>
                </c:pt>
                <c:pt idx="9">
                  <c:v>112416.70900000002</c:v>
                </c:pt>
              </c:numCache>
            </c:numRef>
          </c:val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Фактично надійшло 
станом на 01.01.2022 року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Внутріш-ні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адмініст-ративних послуг</c:v>
                </c:pt>
                <c:pt idx="6">
                  <c:v>Інші надход-ження</c:v>
                </c:pt>
                <c:pt idx="7">
                  <c:v>Екологіч-ний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Лист1!$D$5:$D$14</c:f>
              <c:numCache>
                <c:formatCode>#,##0.0_);\-#,##0.0</c:formatCode>
                <c:ptCount val="10"/>
                <c:pt idx="0">
                  <c:v>82103.149999999994</c:v>
                </c:pt>
                <c:pt idx="1">
                  <c:v>3831.61</c:v>
                </c:pt>
                <c:pt idx="2">
                  <c:v>3059.48</c:v>
                </c:pt>
                <c:pt idx="3">
                  <c:v>9501.6</c:v>
                </c:pt>
                <c:pt idx="4">
                  <c:v>29088.560000000001</c:v>
                </c:pt>
                <c:pt idx="5">
                  <c:v>2788.94</c:v>
                </c:pt>
                <c:pt idx="6">
                  <c:v>1294.634</c:v>
                </c:pt>
                <c:pt idx="7">
                  <c:v>204.87</c:v>
                </c:pt>
                <c:pt idx="8">
                  <c:v>329.39499999999998</c:v>
                </c:pt>
                <c:pt idx="9">
                  <c:v>132202.23899999997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2696832"/>
        <c:axId val="29577600"/>
        <c:axId val="0"/>
      </c:bar3DChart>
      <c:catAx>
        <c:axId val="8269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577600"/>
        <c:crosses val="autoZero"/>
        <c:auto val="1"/>
        <c:lblAlgn val="ctr"/>
        <c:lblOffset val="100"/>
        <c:noMultiLvlLbl val="0"/>
      </c:catAx>
      <c:valAx>
        <c:axId val="295776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ru-RU" sz="1400"/>
                  <a:t>тис.грн.</a:t>
                </a:r>
              </a:p>
            </c:rich>
          </c:tx>
          <c:layout>
            <c:manualLayout>
              <c:xMode val="edge"/>
              <c:yMode val="edge"/>
              <c:x val="8.852931311548623E-2"/>
              <c:y val="0.2738331859953537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8269683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accent1">
            <a:lumMod val="60000"/>
            <a:lumOff val="40000"/>
          </a:schemeClr>
        </a:gs>
        <a:gs pos="17999">
          <a:schemeClr val="tx2">
            <a:lumMod val="20000"/>
            <a:lumOff val="80000"/>
          </a:schemeClr>
        </a:gs>
        <a:gs pos="36000">
          <a:schemeClr val="accent1">
            <a:lumMod val="20000"/>
            <a:lumOff val="80000"/>
          </a:schemeClr>
        </a:gs>
        <a:gs pos="61000">
          <a:schemeClr val="accent1">
            <a:lumMod val="20000"/>
            <a:lumOff val="80000"/>
          </a:schemeClr>
        </a:gs>
        <a:gs pos="82001">
          <a:schemeClr val="accent5">
            <a:lumMod val="20000"/>
            <a:lumOff val="80000"/>
          </a:schemeClr>
        </a:gs>
        <a:gs pos="100000">
          <a:schemeClr val="accent5">
            <a:lumMod val="20000"/>
            <a:lumOff val="80000"/>
          </a:schemeClr>
        </a:gs>
      </a:gsLst>
      <a:lin ang="16200000" scaled="0"/>
    </a:gradFill>
    <a:ln w="9525" cap="flat" cmpd="sng" algn="ctr">
      <a:noFill/>
      <a:prstDash val="solid"/>
    </a:ln>
    <a:effectLst/>
    <a:scene3d>
      <a:camera prst="orthographicFront"/>
      <a:lightRig rig="threePt" dir="t"/>
    </a:scene3d>
    <a:sp3d>
      <a:bevelT w="190500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647846167423342"/>
          <c:y val="0.15106456906735946"/>
          <c:w val="0.80062666200888311"/>
          <c:h val="0.77034883720930236"/>
        </c:manualLayout>
      </c:layout>
      <c:pie3DChart>
        <c:varyColors val="1"/>
        <c:ser>
          <c:idx val="1"/>
          <c:order val="1"/>
          <c:spPr>
            <a:scene3d>
              <a:camera prst="orthographicFront"/>
              <a:lightRig rig="threePt" dir="t"/>
            </a:scene3d>
            <a:sp3d>
              <a:bevelT w="254000" h="228600"/>
              <a:bevelB w="254000" h="228600"/>
            </a:sp3d>
          </c:spPr>
          <c:explosion val="25"/>
          <c:dPt>
            <c:idx val="0"/>
            <c:bubble3D val="0"/>
            <c:explosion val="13"/>
            <c:spPr>
              <a:solidFill>
                <a:srgbClr val="D60093"/>
              </a:solidFill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</a:sp3d>
            </c:spPr>
          </c:dPt>
          <c:dPt>
            <c:idx val="2"/>
            <c:bubble3D val="0"/>
            <c:explosion val="15"/>
          </c:dPt>
          <c:dPt>
            <c:idx val="3"/>
            <c:bubble3D val="0"/>
            <c:explosion val="17"/>
          </c:dPt>
          <c:dPt>
            <c:idx val="4"/>
            <c:bubble3D val="0"/>
            <c:explosion val="14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</a:sp3d>
            </c:spPr>
          </c:dPt>
          <c:dLbls>
            <c:dLbl>
              <c:idx val="0"/>
              <c:layout>
                <c:manualLayout>
                  <c:x val="-1.86799501867995E-2"/>
                  <c:y val="0.2540730524774016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8.3441359991893921E-2"/>
                  <c:y val="7.668505540677068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7.7122944470048346E-2"/>
                  <c:y val="-2.650090072753125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5359854613441065"/>
                  <c:y val="-5.3803101496223355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0.15005981506359028"/>
                  <c:y val="1.6972165648336728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8.7969000761579777E-2"/>
                  <c:y val="-1.212240272409940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(Лист2!$C$9;Лист2!$C$26;Лист2!$C$33;Лист2!$C$38;Лист2!$C$47;Лист2!$C$61;Лист2!$C$91)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(Лист2!$E$9;Лист2!$E$26;Лист2!$E$33;Лист2!$E$38;Лист2!$E$47;Лист2!$E$61;Лист2!$E$91)</c:f>
              <c:numCache>
                <c:formatCode>#,##0.0</c:formatCode>
                <c:ptCount val="7"/>
                <c:pt idx="0">
                  <c:v>82103.154649999997</c:v>
                </c:pt>
                <c:pt idx="1">
                  <c:v>3831.6054199999999</c:v>
                </c:pt>
                <c:pt idx="2">
                  <c:v>3059.4848200000001</c:v>
                </c:pt>
                <c:pt idx="3">
                  <c:v>9501.5957799999996</c:v>
                </c:pt>
                <c:pt idx="4">
                  <c:v>29088.555250000001</c:v>
                </c:pt>
                <c:pt idx="5">
                  <c:v>2788.9360700000002</c:v>
                </c:pt>
                <c:pt idx="6">
                  <c:v>1294.63986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(Лист2!$C$9;Лист2!$C$26;Лист2!$C$33;Лист2!$C$38;Лист2!$C$47;Лист2!$C$61;Лист2!$C$91)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(Лист2!$D$9;Лист2!$D$26;Лист2!$D$33;Лист2!$D$38;Лист2!$D$47;Лист2!$D$61;Лист2!$D$91)</c:f>
              <c:numCache>
                <c:formatCode>#,##0.0</c:formatCode>
                <c:ptCount val="7"/>
                <c:pt idx="0">
                  <c:v>79528.149999999994</c:v>
                </c:pt>
                <c:pt idx="1">
                  <c:v>3691</c:v>
                </c:pt>
                <c:pt idx="2">
                  <c:v>3000.7</c:v>
                </c:pt>
                <c:pt idx="3">
                  <c:v>9342.7000000000007</c:v>
                </c:pt>
                <c:pt idx="4">
                  <c:v>28737.7</c:v>
                </c:pt>
                <c:pt idx="5">
                  <c:v>2663.1</c:v>
                </c:pt>
                <c:pt idx="6">
                  <c:v>1122.5000000000002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>
          <a:bevelB w="19050"/>
        </a:sp3d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511016191641677E-2"/>
          <c:y val="0.15555122012127076"/>
          <c:w val="0.77500000000000002"/>
          <c:h val="0.73611111111111116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1496728113664154E-2"/>
                  <c:y val="-4.482212313822218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1.2530889779128486E-3"/>
                  <c:y val="0.2096921558274603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0.3588904448168470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Лист2!$B$10:$B$35</c:f>
              <c:strCache>
                <c:ptCount val="7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Кошти від продажу землі  </c:v>
                </c:pt>
                <c:pt idx="5">
                  <c:v>Субвенція з державного бюджету місцевим бюджетам на здійснення заходів щодо соціально-економічного розвитку окремих територій</c:v>
                </c:pt>
                <c:pt idx="6">
                  <c:v>Інші субвенції з місцевого бюджету</c:v>
                </c:pt>
              </c:strCache>
            </c:strRef>
          </c:cat>
          <c:val>
            <c:numRef>
              <c:f>Лист2!$C$10:$C$35</c:f>
            </c:numRef>
          </c:val>
        </c:ser>
        <c:ser>
          <c:idx val="1"/>
          <c:order val="1"/>
          <c:explosion val="25"/>
          <c:cat>
            <c:strRef>
              <c:f>Лист2!$B$10:$B$35</c:f>
              <c:strCache>
                <c:ptCount val="7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Кошти від продажу землі  </c:v>
                </c:pt>
                <c:pt idx="5">
                  <c:v>Субвенція з державного бюджету місцевим бюджетам на здійснення заходів щодо соціально-економічного розвитку окремих територій</c:v>
                </c:pt>
                <c:pt idx="6">
                  <c:v>Інші субвенції з місцевого бюджету</c:v>
                </c:pt>
              </c:strCache>
            </c:strRef>
          </c:cat>
          <c:val>
            <c:numRef>
              <c:f>Лист2!$D$10:$D$35</c:f>
            </c:numRef>
          </c:val>
        </c:ser>
        <c:ser>
          <c:idx val="2"/>
          <c:order val="2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 h="228600"/>
              <a:bevelB w="254000" h="228600"/>
            </a:sp3d>
          </c:spPr>
          <c:explosion val="25"/>
          <c:dPt>
            <c:idx val="0"/>
            <c:bubble3D val="0"/>
            <c:explosion val="13"/>
          </c:dPt>
          <c:dPt>
            <c:idx val="2"/>
            <c:bubble3D val="0"/>
            <c:explosion val="10"/>
          </c:dPt>
          <c:dPt>
            <c:idx val="3"/>
            <c:bubble3D val="0"/>
            <c:explosion val="12"/>
          </c:dPt>
          <c:dLbls>
            <c:dLbl>
              <c:idx val="0"/>
              <c:layout>
                <c:manualLayout>
                  <c:x val="-0.10692013202149669"/>
                  <c:y val="-8.548111205880080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8.909173169034329E-2"/>
                  <c:y val="5.6867884686366305E-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5.9468583628014826E-2"/>
                  <c:y val="0.2560982271266247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7.5766263512016879E-3"/>
                  <c:y val="0.115543056109386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20941179427645024"/>
                  <c:y val="7.5943889833543984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0.3334245040301089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8.1385503084533302E-3"/>
                  <c:y val="-6.9865171415216323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Лист2!$B$10:$B$35</c:f>
              <c:strCache>
                <c:ptCount val="7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Кошти від продажу землі  </c:v>
                </c:pt>
                <c:pt idx="5">
                  <c:v>Субвенція з державного бюджету місцевим бюджетам на здійснення заходів щодо соціально-економічного розвитку окремих територій</c:v>
                </c:pt>
                <c:pt idx="6">
                  <c:v>Інші субвенції з місцевого бюджету</c:v>
                </c:pt>
              </c:strCache>
            </c:strRef>
          </c:cat>
          <c:val>
            <c:numRef>
              <c:f>Лист2!$E$10:$E$35</c:f>
              <c:numCache>
                <c:formatCode>#,##0.0</c:formatCode>
                <c:ptCount val="7"/>
                <c:pt idx="0">
                  <c:v>197.62589</c:v>
                </c:pt>
                <c:pt idx="1">
                  <c:v>7.2735600000000007</c:v>
                </c:pt>
                <c:pt idx="2">
                  <c:v>1321.4195199999999</c:v>
                </c:pt>
                <c:pt idx="3">
                  <c:v>3299.8433200000004</c:v>
                </c:pt>
                <c:pt idx="4">
                  <c:v>329.4</c:v>
                </c:pt>
                <c:pt idx="5">
                  <c:v>2908</c:v>
                </c:pt>
                <c:pt idx="6">
                  <c:v>1891.0650000000001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613524851693982"/>
          <c:y val="0.14120370370370369"/>
          <c:w val="0.72136471324014728"/>
          <c:h val="0.6832247552286338"/>
        </c:manualLayout>
      </c:layout>
      <c:pie3DChart>
        <c:varyColors val="1"/>
        <c:ser>
          <c:idx val="0"/>
          <c:order val="0"/>
          <c:spPr>
            <a:effectLst>
              <a:outerShdw blurRad="63500" dist="63500" dir="5400000" algn="t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/>
              <a:bevelB w="254000"/>
            </a:sp3d>
          </c:spPr>
          <c:dPt>
            <c:idx val="0"/>
            <c:bubble3D val="0"/>
            <c:explosion val="7"/>
          </c:dPt>
          <c:dPt>
            <c:idx val="1"/>
            <c:bubble3D val="0"/>
            <c:explosion val="8"/>
          </c:dPt>
          <c:dPt>
            <c:idx val="2"/>
            <c:bubble3D val="0"/>
            <c:explosion val="8"/>
          </c:dPt>
          <c:dPt>
            <c:idx val="3"/>
            <c:bubble3D val="0"/>
            <c:explosion val="4"/>
          </c:dPt>
          <c:dPt>
            <c:idx val="4"/>
            <c:bubble3D val="0"/>
            <c:explosion val="7"/>
          </c:dPt>
          <c:dPt>
            <c:idx val="5"/>
            <c:bubble3D val="0"/>
            <c:explosion val="10"/>
          </c:dPt>
          <c:dPt>
            <c:idx val="6"/>
            <c:bubble3D val="0"/>
            <c:explosion val="8"/>
          </c:dPt>
          <c:dLbls>
            <c:dLbl>
              <c:idx val="0"/>
              <c:layout>
                <c:manualLayout>
                  <c:x val="-5.0585920662356232E-2"/>
                  <c:y val="-0.189275078382743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праці
147 610,7
67,1%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5187734460021765"/>
                  <c:y val="0.1796174785104553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Нарахування на оплату праці
30 441,1
13,8%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6.3714673113993536E-2"/>
                  <c:y val="0.2869593130127026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3323667788414414"/>
                  <c:y val="0.2339364591621169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2739186711250136"/>
                  <c:y val="2.27813834986107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8.0364806516246487E-2"/>
                  <c:y val="-0.1570973215168187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4.7019321472087205E-2"/>
                  <c:y val="-0.1908205408147511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0.17148266736367498"/>
                  <c:y val="-0.1687247935471480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видатки
16 827,7
7,6%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Лист2!$C$7:$C$14</c:f>
              <c:strCache>
                <c:ptCount val="8"/>
                <c:pt idx="0">
                  <c:v>Оплата праці</c:v>
                </c:pt>
                <c:pt idx="1">
                  <c:v>Нарахування на оплату праці</c:v>
                </c:pt>
                <c:pt idx="2">
                  <c:v>Медикаменти</c:v>
                </c:pt>
                <c:pt idx="3">
                  <c:v>Продукти харчування</c:v>
                </c:pt>
                <c:pt idx="4">
                  <c:v>Оплата комунальних послуг та енергоносіїв</c:v>
                </c:pt>
                <c:pt idx="5">
                  <c:v>Окремі заходи по реалізації держ. (регіон.) програм</c:v>
                </c:pt>
                <c:pt idx="6">
                  <c:v>Соціальне забезпечення</c:v>
                </c:pt>
                <c:pt idx="7">
                  <c:v>Інші видатки</c:v>
                </c:pt>
              </c:strCache>
            </c:strRef>
          </c:cat>
          <c:val>
            <c:numRef>
              <c:f>Лист2!$I$7:$I$14</c:f>
              <c:numCache>
                <c:formatCode>#,##0.0</c:formatCode>
                <c:ptCount val="8"/>
                <c:pt idx="0">
                  <c:v>147610.66830000002</c:v>
                </c:pt>
                <c:pt idx="1">
                  <c:v>30441.097989999998</c:v>
                </c:pt>
                <c:pt idx="2">
                  <c:v>39.5</c:v>
                </c:pt>
                <c:pt idx="3">
                  <c:v>1899.90743</c:v>
                </c:pt>
                <c:pt idx="4">
                  <c:v>19337.885260000003</c:v>
                </c:pt>
                <c:pt idx="5">
                  <c:v>2658.3440099999998</c:v>
                </c:pt>
                <c:pt idx="6">
                  <c:v>1390.49837</c:v>
                </c:pt>
                <c:pt idx="7">
                  <c:v>16827.751370000002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308724832214766E-3"/>
          <c:y val="0.22673823293774148"/>
          <c:w val="0.76426174496644295"/>
          <c:h val="0.74784799544287528"/>
        </c:manualLayout>
      </c:layout>
      <c:pie3DChart>
        <c:varyColors val="1"/>
        <c:ser>
          <c:idx val="0"/>
          <c:order val="0"/>
          <c:spPr>
            <a:effectLst>
              <a:innerShdw blurRad="63500" dist="50800" dir="162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 w="254000" h="228600"/>
              <a:bevelB w="254000" h="228600"/>
              <a:contourClr>
                <a:srgbClr val="000000"/>
              </a:contourClr>
            </a:sp3d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C00000"/>
              </a:solidFill>
              <a:effectLst>
                <a:innerShdw blurRad="63500" dist="50800" dir="162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  <a:contourClr>
                  <a:srgbClr val="000000"/>
                </a:contourClr>
              </a:sp3d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0.25043179558950479"/>
                  <c:y val="0.1911989562351217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Державне управління
30 862,8
14,0%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"/>
                  <c:y val="-0.2481575182288969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Освіта
155 869,0
70,7%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863856044157271"/>
                  <c:y val="-0.1122670349345866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Охорона здоров'я
6 567,3
3,0%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9.8043897389768736E-2"/>
                  <c:y val="-0.252074881368305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Соціальний захист та соц. забезпечення
7 656,3
3,5%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5.00276797613654E-2"/>
                  <c:y val="-0.249917296761745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 і мистецтво
9 690,2
4,4%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5.4783968887551382E-2"/>
                  <c:y val="-0.1582007613286749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Фізична культура і спорт
2 647,3
1,2%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5.9352519161848957E-2"/>
                  <c:y val="-8.0545891065942341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Житлово - комунальне господарство
4 765,6
2,2%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0.11529710675700421"/>
                  <c:y val="0.4366513052147551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Економічна діяльність
1 280,5
0,6%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5.0226116357548332E-2"/>
                  <c:y val="0.1472494353903436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Інша діяльність
643,9
0,3%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2.649763256337144E-2"/>
                  <c:y val="0.27226494943945961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Лист1!$C$6:$C$15</c:f>
              <c:strCache>
                <c:ptCount val="10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Соціальний захист та соц. забезпечення</c:v>
                </c:pt>
                <c:pt idx="4">
                  <c:v>Культура і мистецтво</c:v>
                </c:pt>
                <c:pt idx="5">
                  <c:v>Фізична культура і спорт</c:v>
                </c:pt>
                <c:pt idx="6">
                  <c:v>Житлово - 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  <c:pt idx="9">
                  <c:v>Субвенція з місцевого бюджету державному бюджету на виконання програм соціально-економічного розвитку регіонів</c:v>
                </c:pt>
              </c:strCache>
            </c:strRef>
          </c:cat>
          <c:val>
            <c:numRef>
              <c:f>Лист1!$D$6:$D$15</c:f>
              <c:numCache>
                <c:formatCode>#,##0.0</c:formatCode>
                <c:ptCount val="10"/>
                <c:pt idx="0">
                  <c:v>30862.799999999999</c:v>
                </c:pt>
                <c:pt idx="1">
                  <c:v>138010.9</c:v>
                </c:pt>
                <c:pt idx="2">
                  <c:v>5775.6</c:v>
                </c:pt>
                <c:pt idx="3">
                  <c:v>6613.5000000000009</c:v>
                </c:pt>
                <c:pt idx="4">
                  <c:v>8602.4</c:v>
                </c:pt>
                <c:pt idx="5">
                  <c:v>2234.7999999999997</c:v>
                </c:pt>
                <c:pt idx="6">
                  <c:v>3972.3</c:v>
                </c:pt>
                <c:pt idx="7">
                  <c:v>1125.4000000000001</c:v>
                </c:pt>
                <c:pt idx="8">
                  <c:v>593.6</c:v>
                </c:pt>
                <c:pt idx="9">
                  <c:v>222.7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0.23819</cdr:x>
      <cdr:y>0.26439</cdr:y>
    </cdr:from>
    <cdr:to>
      <cdr:x>0.30644</cdr:x>
      <cdr:y>0.33108</cdr:y>
    </cdr:to>
    <cdr:sp macro="" textlink="">
      <cdr:nvSpPr>
        <cdr:cNvPr id="2" name="Стрелка вправо 1"/>
        <cdr:cNvSpPr/>
      </cdr:nvSpPr>
      <cdr:spPr>
        <a:xfrm xmlns:a="http://schemas.openxmlformats.org/drawingml/2006/main" rot="20665664">
          <a:off x="2339064" y="1607546"/>
          <a:ext cx="670239" cy="405448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00"/>
            <a:t>12</a:t>
          </a:r>
          <a:r>
            <a:rPr lang="uk-UA" sz="1000"/>
            <a:t>3,0%</a:t>
          </a:r>
          <a:endParaRPr lang="ru-RU" sz="1000"/>
        </a:p>
      </cdr:txBody>
    </cdr:sp>
  </cdr:relSizeAnchor>
  <cdr:relSizeAnchor xmlns:cdr="http://schemas.openxmlformats.org/drawingml/2006/chartDrawing">
    <cdr:from>
      <cdr:x>0.29573</cdr:x>
      <cdr:y>0.47693</cdr:y>
    </cdr:from>
    <cdr:to>
      <cdr:x>0.36964</cdr:x>
      <cdr:y>0.54322</cdr:y>
    </cdr:to>
    <cdr:sp macro="" textlink="">
      <cdr:nvSpPr>
        <cdr:cNvPr id="7" name="Стрелка вправо 6"/>
        <cdr:cNvSpPr/>
      </cdr:nvSpPr>
      <cdr:spPr>
        <a:xfrm xmlns:a="http://schemas.openxmlformats.org/drawingml/2006/main" rot="20608089">
          <a:off x="2904132" y="2899764"/>
          <a:ext cx="725864" cy="403052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47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10</a:t>
          </a:r>
          <a:r>
            <a:rPr lang="en-US" sz="1000"/>
            <a:t>1</a:t>
          </a:r>
          <a:r>
            <a:rPr lang="uk-UA" sz="1000"/>
            <a:t>,6%</a:t>
          </a:r>
          <a:endParaRPr lang="ru-RU" sz="1000"/>
        </a:p>
      </cdr:txBody>
    </cdr:sp>
  </cdr:relSizeAnchor>
  <cdr:relSizeAnchor xmlns:cdr="http://schemas.openxmlformats.org/drawingml/2006/chartDrawing">
    <cdr:from>
      <cdr:x>0.8923</cdr:x>
      <cdr:y>0.10848</cdr:y>
    </cdr:from>
    <cdr:to>
      <cdr:x>0.96417</cdr:x>
      <cdr:y>0.17516</cdr:y>
    </cdr:to>
    <cdr:sp macro="" textlink="">
      <cdr:nvSpPr>
        <cdr:cNvPr id="12" name="Стрелка вправо 11"/>
        <cdr:cNvSpPr/>
      </cdr:nvSpPr>
      <cdr:spPr>
        <a:xfrm xmlns:a="http://schemas.openxmlformats.org/drawingml/2006/main" rot="20665664">
          <a:off x="8762648" y="659557"/>
          <a:ext cx="705783" cy="405423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uk-UA" sz="1000"/>
            <a:t>117,6%</a:t>
          </a:r>
          <a:endParaRPr lang="ru-RU" sz="1000"/>
        </a:p>
      </cdr:txBody>
    </cdr:sp>
  </cdr:relSizeAnchor>
  <cdr:relSizeAnchor xmlns:cdr="http://schemas.openxmlformats.org/drawingml/2006/chartDrawing">
    <cdr:from>
      <cdr:x>0.38001</cdr:x>
      <cdr:y>0.47586</cdr:y>
    </cdr:from>
    <cdr:to>
      <cdr:x>0.44826</cdr:x>
      <cdr:y>0.54255</cdr:y>
    </cdr:to>
    <cdr:sp macro="" textlink="">
      <cdr:nvSpPr>
        <cdr:cNvPr id="13" name="Стрелка вправо 12"/>
        <cdr:cNvSpPr/>
      </cdr:nvSpPr>
      <cdr:spPr>
        <a:xfrm xmlns:a="http://schemas.openxmlformats.org/drawingml/2006/main" rot="20678374">
          <a:off x="3731803" y="2893288"/>
          <a:ext cx="670233" cy="405484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42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10</a:t>
          </a:r>
          <a:r>
            <a:rPr lang="uk-UA" sz="1000"/>
            <a:t>1</a:t>
          </a:r>
          <a:r>
            <a:rPr lang="en-US" sz="1000"/>
            <a:t>,</a:t>
          </a:r>
          <a:r>
            <a:rPr lang="uk-UA" sz="1000"/>
            <a:t>1%</a:t>
          </a:r>
          <a:endParaRPr lang="ru-RU" sz="1000"/>
        </a:p>
      </cdr:txBody>
    </cdr:sp>
  </cdr:relSizeAnchor>
  <cdr:relSizeAnchor xmlns:cdr="http://schemas.openxmlformats.org/drawingml/2006/chartDrawing">
    <cdr:from>
      <cdr:x>0.45779</cdr:x>
      <cdr:y>0.45939</cdr:y>
    </cdr:from>
    <cdr:to>
      <cdr:x>0.52865</cdr:x>
      <cdr:y>0.52567</cdr:y>
    </cdr:to>
    <cdr:sp macro="" textlink="">
      <cdr:nvSpPr>
        <cdr:cNvPr id="14" name="Стрелка вправо 13"/>
        <cdr:cNvSpPr/>
      </cdr:nvSpPr>
      <cdr:spPr>
        <a:xfrm xmlns:a="http://schemas.openxmlformats.org/drawingml/2006/main" rot="20671958">
          <a:off x="4495624" y="2793149"/>
          <a:ext cx="695864" cy="402990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101,4%</a:t>
          </a:r>
          <a:endParaRPr lang="ru-RU" sz="1000"/>
        </a:p>
      </cdr:txBody>
    </cdr:sp>
  </cdr:relSizeAnchor>
  <cdr:relSizeAnchor xmlns:cdr="http://schemas.openxmlformats.org/drawingml/2006/chartDrawing">
    <cdr:from>
      <cdr:x>0.52908</cdr:x>
      <cdr:y>0.39829</cdr:y>
    </cdr:from>
    <cdr:to>
      <cdr:x>0.59733</cdr:x>
      <cdr:y>0.46497</cdr:y>
    </cdr:to>
    <cdr:sp macro="" textlink="">
      <cdr:nvSpPr>
        <cdr:cNvPr id="15" name="Стрелка вправо 14"/>
        <cdr:cNvSpPr/>
      </cdr:nvSpPr>
      <cdr:spPr>
        <a:xfrm xmlns:a="http://schemas.openxmlformats.org/drawingml/2006/main" rot="20665664">
          <a:off x="5195712" y="2421674"/>
          <a:ext cx="670234" cy="405423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1</a:t>
          </a:r>
          <a:r>
            <a:rPr lang="uk-UA" sz="1000"/>
            <a:t>2,0%</a:t>
          </a:r>
          <a:endParaRPr lang="ru-RU" sz="1000"/>
        </a:p>
      </cdr:txBody>
    </cdr:sp>
  </cdr:relSizeAnchor>
  <cdr:relSizeAnchor xmlns:cdr="http://schemas.openxmlformats.org/drawingml/2006/chartDrawing">
    <cdr:from>
      <cdr:x>0.60406</cdr:x>
      <cdr:y>0.49009</cdr:y>
    </cdr:from>
    <cdr:to>
      <cdr:x>0.67231</cdr:x>
      <cdr:y>0.55677</cdr:y>
    </cdr:to>
    <cdr:sp macro="" textlink="">
      <cdr:nvSpPr>
        <cdr:cNvPr id="16" name="Стрелка вправо 15"/>
        <cdr:cNvSpPr/>
      </cdr:nvSpPr>
      <cdr:spPr>
        <a:xfrm xmlns:a="http://schemas.openxmlformats.org/drawingml/2006/main" rot="20665664">
          <a:off x="5932006" y="2979823"/>
          <a:ext cx="670234" cy="405422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13</a:t>
          </a:r>
          <a:r>
            <a:rPr lang="en-US" sz="1000"/>
            <a:t>6</a:t>
          </a:r>
          <a:r>
            <a:rPr lang="uk-UA" sz="1000"/>
            <a:t>,4%</a:t>
          </a:r>
          <a:endParaRPr lang="ru-RU" sz="1000"/>
        </a:p>
      </cdr:txBody>
    </cdr:sp>
  </cdr:relSizeAnchor>
  <cdr:relSizeAnchor xmlns:cdr="http://schemas.openxmlformats.org/drawingml/2006/chartDrawing">
    <cdr:from>
      <cdr:x>0.67299</cdr:x>
      <cdr:y>0.49009</cdr:y>
    </cdr:from>
    <cdr:to>
      <cdr:x>0.74124</cdr:x>
      <cdr:y>0.55678</cdr:y>
    </cdr:to>
    <cdr:sp macro="" textlink="">
      <cdr:nvSpPr>
        <cdr:cNvPr id="17" name="Стрелка вправо 16"/>
        <cdr:cNvSpPr/>
      </cdr:nvSpPr>
      <cdr:spPr>
        <a:xfrm xmlns:a="http://schemas.openxmlformats.org/drawingml/2006/main" rot="20665664">
          <a:off x="6608938" y="2979785"/>
          <a:ext cx="670234" cy="405484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163,7%</a:t>
          </a:r>
          <a:endParaRPr lang="ru-RU" sz="1000"/>
        </a:p>
      </cdr:txBody>
    </cdr:sp>
  </cdr:relSizeAnchor>
  <cdr:relSizeAnchor xmlns:cdr="http://schemas.openxmlformats.org/drawingml/2006/chartDrawing">
    <cdr:from>
      <cdr:x>0.74796</cdr:x>
      <cdr:y>0.48032</cdr:y>
    </cdr:from>
    <cdr:to>
      <cdr:x>0.81621</cdr:x>
      <cdr:y>0.54701</cdr:y>
    </cdr:to>
    <cdr:sp macro="" textlink="">
      <cdr:nvSpPr>
        <cdr:cNvPr id="18" name="Стрелка вправо 17"/>
        <cdr:cNvSpPr/>
      </cdr:nvSpPr>
      <cdr:spPr>
        <a:xfrm xmlns:a="http://schemas.openxmlformats.org/drawingml/2006/main" rot="1392232">
          <a:off x="7345173" y="2920406"/>
          <a:ext cx="670234" cy="405483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88</a:t>
          </a:r>
          <a:r>
            <a:rPr lang="uk-UA" sz="1000"/>
            <a:t>,</a:t>
          </a:r>
          <a:r>
            <a:rPr lang="en-US" sz="1000"/>
            <a:t>0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0.82707</cdr:x>
      <cdr:y>0.48229</cdr:y>
    </cdr:from>
    <cdr:to>
      <cdr:x>0.89532</cdr:x>
      <cdr:y>0.55382</cdr:y>
    </cdr:to>
    <cdr:sp macro="" textlink="">
      <cdr:nvSpPr>
        <cdr:cNvPr id="11" name="Стрелка вправо 10"/>
        <cdr:cNvSpPr/>
      </cdr:nvSpPr>
      <cdr:spPr>
        <a:xfrm xmlns:a="http://schemas.openxmlformats.org/drawingml/2006/main" rot="1122912">
          <a:off x="8122057" y="2932378"/>
          <a:ext cx="670234" cy="434930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7</a:t>
          </a:r>
          <a:r>
            <a:rPr lang="en-US" sz="1000"/>
            <a:t>3</a:t>
          </a:r>
          <a:r>
            <a:rPr lang="uk-UA" sz="1000"/>
            <a:t>,4</a:t>
          </a:r>
          <a:r>
            <a:rPr lang="en-US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0.83699</cdr:x>
      <cdr:y>0.50966</cdr:y>
    </cdr:from>
    <cdr:to>
      <cdr:x>0.9301</cdr:x>
      <cdr:y>0.66005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8219440" y="30988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AAC7-2CFA-4C4D-8CA2-19A1FB25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6089</TotalTime>
  <Pages>9</Pages>
  <Words>1437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фінансів України</vt:lpstr>
    </vt:vector>
  </TitlesOfParts>
  <Company>RFU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Lida</dc:creator>
  <cp:lastModifiedBy>rfu2204</cp:lastModifiedBy>
  <cp:revision>276</cp:revision>
  <cp:lastPrinted>2022-01-10T06:34:00Z</cp:lastPrinted>
  <dcterms:created xsi:type="dcterms:W3CDTF">2021-03-04T14:36:00Z</dcterms:created>
  <dcterms:modified xsi:type="dcterms:W3CDTF">2022-01-31T12:35:00Z</dcterms:modified>
</cp:coreProperties>
</file>