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03" w:rsidRPr="00924F47" w:rsidRDefault="00064403" w:rsidP="00BD2014">
      <w:pPr>
        <w:spacing w:after="60" w:line="240" w:lineRule="auto"/>
        <w:jc w:val="both"/>
        <w:outlineLvl w:val="0"/>
        <w:rPr>
          <w:rFonts w:ascii="Myriad Pro" w:eastAsia="Times New Roman" w:hAnsi="Myriad Pro" w:cs="Arial"/>
          <w:b/>
          <w:bCs/>
          <w:kern w:val="36"/>
          <w:lang w:val="uk-UA" w:eastAsia="ru-RU"/>
        </w:rPr>
      </w:pPr>
    </w:p>
    <w:p w:rsidR="00BD2014" w:rsidRPr="00924F47" w:rsidRDefault="00BD2014" w:rsidP="00064403">
      <w:pPr>
        <w:spacing w:after="60" w:line="240" w:lineRule="auto"/>
        <w:jc w:val="center"/>
        <w:outlineLvl w:val="0"/>
        <w:rPr>
          <w:rFonts w:ascii="Myriad Pro" w:eastAsia="Times New Roman" w:hAnsi="Myriad Pro" w:cs="Arial"/>
          <w:b/>
          <w:bCs/>
          <w:kern w:val="36"/>
          <w:lang w:val="uk-UA" w:eastAsia="ru-RU"/>
        </w:rPr>
      </w:pPr>
      <w:r w:rsidRPr="00924F47">
        <w:rPr>
          <w:rFonts w:ascii="Myriad Pro" w:eastAsia="Times New Roman" w:hAnsi="Myriad Pro" w:cs="Arial"/>
          <w:b/>
          <w:bCs/>
          <w:kern w:val="36"/>
          <w:lang w:val="uk-UA" w:eastAsia="ru-RU"/>
        </w:rPr>
        <w:t>IBI-Rating підтвердило кредитний рейтинг та рейтинг інвестиційної привабливості Сумської міської територіальної громади</w:t>
      </w:r>
    </w:p>
    <w:p w:rsidR="00064403" w:rsidRPr="00924F47" w:rsidRDefault="00064403" w:rsidP="00BD2014">
      <w:pPr>
        <w:spacing w:after="60" w:line="240" w:lineRule="auto"/>
        <w:jc w:val="both"/>
        <w:rPr>
          <w:rFonts w:ascii="Myriad Pro" w:hAnsi="Myriad Pro" w:cs="Arial"/>
          <w:lang w:val="uk-UA"/>
        </w:rPr>
      </w:pP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 w:cs="Arial"/>
          <w:lang w:val="uk-UA"/>
        </w:rPr>
        <w:t xml:space="preserve">Національне рейтингове агентство ІВІ-Rating повідомляє про підтвердження кредитного рейтингу Сумської міської територіальної громади на рівні </w:t>
      </w:r>
      <w:r w:rsidRPr="00924F47">
        <w:rPr>
          <w:rStyle w:val="a3"/>
          <w:rFonts w:ascii="Myriad Pro" w:hAnsi="Myriad Pro" w:cs="Arial"/>
          <w:lang w:val="uk-UA"/>
        </w:rPr>
        <w:t>uaА</w:t>
      </w:r>
      <w:r w:rsidR="00666130" w:rsidRPr="00924F47">
        <w:rPr>
          <w:rStyle w:val="a3"/>
          <w:rFonts w:ascii="Myriad Pro" w:hAnsi="Myriad Pro" w:cs="Arial"/>
          <w:lang w:val="uk-UA"/>
        </w:rPr>
        <w:t>–</w:t>
      </w:r>
      <w:r w:rsidRPr="00924F47">
        <w:rPr>
          <w:rFonts w:ascii="Myriad Pro" w:hAnsi="Myriad Pro" w:cs="Arial"/>
          <w:lang w:val="uk-UA"/>
        </w:rPr>
        <w:t xml:space="preserve"> з прогнозом </w:t>
      </w:r>
      <w:r w:rsidRPr="00924F47">
        <w:rPr>
          <w:rStyle w:val="a3"/>
          <w:rFonts w:ascii="Myriad Pro" w:hAnsi="Myriad Pro" w:cs="Arial"/>
          <w:lang w:val="uk-UA"/>
        </w:rPr>
        <w:t>«негативний »</w:t>
      </w:r>
      <w:r w:rsidRPr="00924F47">
        <w:rPr>
          <w:rFonts w:ascii="Myriad Pro" w:hAnsi="Myriad Pro" w:cs="Arial"/>
          <w:lang w:val="uk-UA"/>
        </w:rPr>
        <w:t xml:space="preserve"> та збереженням у контрольному списку (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>CreditWatch),</w:t>
      </w:r>
      <w:r w:rsidRPr="00924F47">
        <w:rPr>
          <w:rFonts w:ascii="Myriad Pro" w:hAnsi="Myriad Pro" w:cs="Arial"/>
          <w:lang w:val="uk-UA"/>
        </w:rPr>
        <w:t xml:space="preserve"> </w:t>
      </w:r>
      <w:r w:rsidR="00666130" w:rsidRPr="00924F47">
        <w:rPr>
          <w:rFonts w:ascii="Myriad Pro" w:hAnsi="Myriad Pro" w:cs="Arial"/>
          <w:lang w:val="uk-UA"/>
        </w:rPr>
        <w:t>а також</w:t>
      </w:r>
      <w:r w:rsidRPr="00924F47">
        <w:rPr>
          <w:rFonts w:ascii="Myriad Pro" w:hAnsi="Myriad Pro" w:cs="Arial"/>
          <w:lang w:val="uk-UA"/>
        </w:rPr>
        <w:t xml:space="preserve"> рейтингу інвестиційної привабливості на рівні </w:t>
      </w:r>
      <w:r w:rsidRPr="00924F47">
        <w:rPr>
          <w:rStyle w:val="a3"/>
          <w:rFonts w:ascii="Myriad Pro" w:hAnsi="Myriad Pro" w:cs="Arial"/>
          <w:lang w:val="uk-UA"/>
        </w:rPr>
        <w:t>invА</w:t>
      </w:r>
      <w:r w:rsidR="00666130" w:rsidRPr="00924F47">
        <w:rPr>
          <w:rStyle w:val="a3"/>
          <w:rFonts w:ascii="Myriad Pro" w:hAnsi="Myriad Pro" w:cs="Arial"/>
          <w:lang w:val="uk-UA"/>
        </w:rPr>
        <w:t>–</w:t>
      </w:r>
      <w:r w:rsidRPr="00924F47">
        <w:rPr>
          <w:rFonts w:ascii="Myriad Pro" w:hAnsi="Myriad Pro" w:cs="Arial"/>
          <w:lang w:val="uk-UA"/>
        </w:rPr>
        <w:t>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 w:cs="Arial"/>
          <w:lang w:val="uk-UA"/>
        </w:rPr>
        <w:t xml:space="preserve">Такі рівні рейтингів відображають високу спроможність громади розраховуватися за своїми зобов'язаннями та високу інвестиційну привабливість. Позначка </w:t>
      </w:r>
      <w:r w:rsidRPr="00924F47">
        <w:rPr>
          <w:rStyle w:val="a3"/>
          <w:rFonts w:ascii="Myriad Pro" w:hAnsi="Myriad Pro" w:cs="Arial"/>
          <w:lang w:val="uk-UA"/>
        </w:rPr>
        <w:t>«-»</w:t>
      </w:r>
      <w:r w:rsidRPr="00924F47">
        <w:rPr>
          <w:rFonts w:ascii="Myriad Pro" w:hAnsi="Myriad Pro" w:cs="Arial"/>
          <w:lang w:val="uk-UA"/>
        </w:rPr>
        <w:t xml:space="preserve"> вказує на проміжну категорію рейтингу відносно основної категорії.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Прогноз «негативний» вказує на високу ймовірність зниження кредитного рейтингу протягом року. </w:t>
      </w:r>
      <w:r w:rsidR="0053717B"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Негативний прогноз 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та знаходження у контрольному списку обумовлені погіршенням умов діяльності та посиленням невизначеності щодо перспектив розвитку економіки на тлі тривалих військових дій на території України через агресію з боку </w:t>
      </w:r>
      <w:r w:rsidR="006B18C8" w:rsidRPr="00924F47">
        <w:rPr>
          <w:rFonts w:ascii="Myriad Pro" w:eastAsia="Times New Roman" w:hAnsi="Myriad Pro" w:cs="Arial"/>
          <w:color w:val="1F1F1F"/>
          <w:lang w:val="uk-UA" w:eastAsia="ru-RU"/>
        </w:rPr>
        <w:t>рф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>.</w:t>
      </w:r>
      <w:r w:rsidRPr="00924F47">
        <w:rPr>
          <w:rFonts w:ascii="Myriad Pro" w:hAnsi="Myriad Pro" w:cs="Arial"/>
          <w:lang w:val="uk-UA"/>
        </w:rPr>
        <w:t xml:space="preserve"> </w:t>
      </w:r>
    </w:p>
    <w:p w:rsidR="00BD2014" w:rsidRPr="00924F47" w:rsidRDefault="00BD2014" w:rsidP="00924F47">
      <w:pPr>
        <w:spacing w:before="60" w:after="60" w:line="240" w:lineRule="auto"/>
        <w:ind w:firstLine="284"/>
        <w:jc w:val="both"/>
        <w:rPr>
          <w:rStyle w:val="a3"/>
          <w:rFonts w:ascii="Myriad Pro" w:hAnsi="Myriad Pro" w:cs="Arial"/>
          <w:lang w:val="uk-UA"/>
        </w:rPr>
      </w:pPr>
      <w:r w:rsidRPr="00924F47">
        <w:rPr>
          <w:rStyle w:val="a3"/>
          <w:rFonts w:ascii="Myriad Pro" w:hAnsi="Myriad Pro" w:cs="Arial"/>
          <w:lang w:val="uk-UA"/>
        </w:rPr>
        <w:t>При оновленні рейтингів було враховано:</w:t>
      </w:r>
    </w:p>
    <w:p w:rsidR="00BD2014" w:rsidRPr="00924F47" w:rsidRDefault="00BD2014" w:rsidP="00924F47">
      <w:pPr>
        <w:spacing w:before="60" w:after="60" w:line="240" w:lineRule="auto"/>
        <w:ind w:firstLine="284"/>
        <w:jc w:val="both"/>
        <w:rPr>
          <w:rFonts w:ascii="Myriad Pro" w:hAnsi="Myriad Pro" w:cs="Arial"/>
          <w:u w:val="single"/>
          <w:lang w:val="uk-UA"/>
        </w:rPr>
      </w:pPr>
      <w:r w:rsidRPr="00924F47">
        <w:rPr>
          <w:rFonts w:ascii="Myriad Pro" w:hAnsi="Myriad Pro" w:cs="Arial"/>
          <w:u w:val="single"/>
          <w:lang w:val="uk-UA"/>
        </w:rPr>
        <w:t>1. Структуру економічного комплексу та ефективність фінансової політики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СМТГ має достатньо високі показники соціально-економічного розвитку. На території громади працюють понад 400 економічно активних промислових підприємств.</w:t>
      </w:r>
      <w:r w:rsidRPr="00924F47">
        <w:rPr>
          <w:lang w:val="uk-UA"/>
        </w:rPr>
        <w:t xml:space="preserve"> 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>Сумська міська територіальна громада має розвинену мережу об’єктів роздрібної торгівлі, закладів ресторанного господарства та підприємств по наданню побутових послуг населенню.</w:t>
      </w:r>
    </w:p>
    <w:p w:rsidR="00BD2014" w:rsidRPr="006F33EC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За результатами 2023 року обсяг доходів бюджету Сумської МТГ склав 3,3 млрд грн. (85,28% від затвердженого плану). При цьому власні доходи склали 82,55% від загального обсягу. За січень-червень 2024 року обсяг доходів склав 1, 86 млрд грн, що становить 51,6% до затвердженого плану на рік та на 11,39% </w:t>
      </w:r>
      <w:r w:rsidRPr="006F33EC">
        <w:rPr>
          <w:rFonts w:ascii="Myriad Pro" w:eastAsia="Times New Roman" w:hAnsi="Myriad Pro" w:cs="Arial"/>
          <w:color w:val="1F1F1F"/>
          <w:lang w:val="uk-UA" w:eastAsia="ru-RU"/>
        </w:rPr>
        <w:t xml:space="preserve">перевищує обсяг доходів за </w:t>
      </w:r>
      <w:r w:rsidR="001E0368" w:rsidRPr="006F33EC">
        <w:rPr>
          <w:rFonts w:ascii="Myriad Pro" w:eastAsia="Times New Roman" w:hAnsi="Myriad Pro" w:cs="Arial"/>
          <w:color w:val="1F1F1F"/>
          <w:lang w:val="uk-UA" w:eastAsia="ru-RU"/>
        </w:rPr>
        <w:t>І </w:t>
      </w:r>
      <w:r w:rsidRPr="006F33EC">
        <w:rPr>
          <w:rFonts w:ascii="Myriad Pro" w:eastAsia="Times New Roman" w:hAnsi="Myriad Pro" w:cs="Arial"/>
          <w:color w:val="1F1F1F"/>
          <w:lang w:val="uk-UA" w:eastAsia="ru-RU"/>
        </w:rPr>
        <w:t>півріччя 2023 року.</w:t>
      </w:r>
    </w:p>
    <w:p w:rsidR="00BD2014" w:rsidRPr="00924F47" w:rsidRDefault="006F33EC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6F33EC">
        <w:rPr>
          <w:rFonts w:ascii="Myriad Pro" w:eastAsia="Times New Roman" w:hAnsi="Myriad Pro" w:cs="Arial"/>
          <w:color w:val="1F1F1F"/>
          <w:lang w:val="uk-UA" w:eastAsia="ru-RU"/>
        </w:rPr>
        <w:t>Обсяг боргу бюджету Сумської міської територіальної громади станом на 01.07.2024  склав 126,28 млн грн (4,4% від планових показників власних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 доходів на 2024 рік). Співвідношення консолідованого боргу </w:t>
      </w:r>
      <w:r w:rsidRPr="006F33EC">
        <w:rPr>
          <w:rFonts w:ascii="Myriad Pro" w:eastAsia="Times New Roman" w:hAnsi="Myriad Pro" w:cs="Arial"/>
          <w:color w:val="1F1F1F"/>
          <w:lang w:val="uk-UA" w:eastAsia="ru-RU"/>
        </w:rPr>
        <w:t>до планових показників власних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 доходів </w:t>
      </w:r>
      <w:r w:rsidRPr="006F33EC">
        <w:rPr>
          <w:rFonts w:ascii="Myriad Pro" w:eastAsia="Times New Roman" w:hAnsi="Myriad Pro" w:cs="Arial"/>
          <w:color w:val="1F1F1F"/>
          <w:lang w:val="uk-UA" w:eastAsia="ru-RU"/>
        </w:rPr>
        <w:t>бюджету на 2024 рік ск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>ладає 10,14%</w:t>
      </w:r>
      <w:r w:rsidR="00BD2014"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. 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Боргове навантаження на дохідну частину бюджету є низьким, що дозволяє міській владі розраховувати на залучення додаткових фінансових ресурсів у т. ч., кредитних, для фінансування заходів соціально-економічного</w:t>
      </w:r>
      <w:r w:rsidR="004C6B6B"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 розвитку громади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>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eastAsia="Times New Roman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Протягом 2023 року та першого півріччя 2024 року тривали обстріли громади з боку рф, що негативно впливає на умови діяльності підприємств. Через бойові дії спостерігалось пошкодження майна та будівель на території громади, що створювало необхідність витрачати кошти бюджету громади на їх відновлення.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hAnsi="Myriad Pro" w:cs="Arial"/>
          <w:u w:val="single"/>
          <w:lang w:val="uk-UA"/>
        </w:rPr>
      </w:pPr>
      <w:r w:rsidRPr="00924F47">
        <w:rPr>
          <w:rFonts w:ascii="Myriad Pro" w:hAnsi="Myriad Pro" w:cs="Arial"/>
          <w:u w:val="single"/>
          <w:lang w:val="uk-UA"/>
        </w:rPr>
        <w:t xml:space="preserve">2. Інвестиційний потенціал </w:t>
      </w:r>
    </w:p>
    <w:p w:rsidR="00B2175D" w:rsidRPr="00924F47" w:rsidRDefault="00B2175D" w:rsidP="00B2175D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hAnsi="Myriad Pro"/>
          <w:lang w:val="uk-UA"/>
        </w:rPr>
        <w:t xml:space="preserve">В м. Суми функціонує </w:t>
      </w:r>
      <w:r w:rsidRPr="00B2175D">
        <w:rPr>
          <w:rFonts w:ascii="Myriad Pro" w:hAnsi="Myriad Pro"/>
          <w:lang w:val="uk-UA"/>
        </w:rPr>
        <w:t xml:space="preserve">розвинена система транспортного </w:t>
      </w:r>
      <w:r w:rsidRPr="00B2175D">
        <w:rPr>
          <w:rFonts w:ascii="Myriad Pro" w:eastAsia="Times New Roman" w:hAnsi="Myriad Pro" w:cs="Arial"/>
          <w:color w:val="1F1F1F"/>
          <w:lang w:val="uk-UA" w:eastAsia="ru-RU"/>
        </w:rPr>
        <w:t>обслуговування</w:t>
      </w:r>
      <w:r w:rsidRPr="00B2175D">
        <w:rPr>
          <w:rFonts w:ascii="Myriad Pro" w:hAnsi="Myriad Pro"/>
          <w:lang w:val="uk-UA"/>
        </w:rPr>
        <w:t xml:space="preserve">. На території міста наявна велика </w:t>
      </w:r>
      <w:r w:rsidRPr="00B2175D">
        <w:rPr>
          <w:rFonts w:ascii="Myriad Pro" w:eastAsia="Times New Roman" w:hAnsi="Myriad Pro" w:cs="Arial"/>
          <w:color w:val="1F1F1F"/>
          <w:lang w:val="uk-UA" w:eastAsia="ru-RU"/>
        </w:rPr>
        <w:t>залізнична станція; через Сумську міську територіальну громаду проходять 2 автошляхи національного значення та 3 автошляхи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 регіонального значення. Функціонує автовокзал, з якого здійснюються міжнародні та міжміські перевезення. Також наявна приміська автостанція. В межах міста розташований аеропорт «Суми» (перебуває в комунальній власності Сумської обласної ради). </w:t>
      </w:r>
    </w:p>
    <w:p w:rsidR="00BD2014" w:rsidRPr="00924F47" w:rsidRDefault="00B2175D" w:rsidP="00B2175D">
      <w:pPr>
        <w:spacing w:before="60" w:after="60" w:line="240" w:lineRule="auto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На території Сумської міської територіальної громади наявні 2 родовища корисних копалин: родовище будівельного піску</w:t>
      </w:r>
      <w:r>
        <w:rPr>
          <w:rFonts w:ascii="Myriad Pro" w:eastAsia="Times New Roman" w:hAnsi="Myriad Pro" w:cs="Arial"/>
          <w:color w:val="1F1F1F"/>
          <w:lang w:val="uk-UA" w:eastAsia="ru-RU"/>
        </w:rPr>
        <w:t>,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 родовище цегельної сировини</w:t>
      </w:r>
      <w:r w:rsidR="00BD2014" w:rsidRPr="00924F47">
        <w:rPr>
          <w:rFonts w:ascii="Myriad Pro" w:eastAsia="Times New Roman" w:hAnsi="Myriad Pro" w:cs="Arial"/>
          <w:color w:val="1F1F1F"/>
          <w:lang w:val="uk-UA" w:eastAsia="ru-RU"/>
        </w:rPr>
        <w:t>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Сумська міська територіальна громада в достатній мірі забезпечена кваліфікованим персоналом та має потужний кадровий потенціал: в місті сконцентровано основні вищі та середньо-спеціалізовані навчальні заклади регіону.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lastRenderedPageBreak/>
        <w:t>Наявна розвинена торгівельна, промислова та бізнес-інфраструктура. Проводиться робота в напрямку створення Індустріального парку «Суми». За попередніми розрахунками на території індустріального парку може бути створено до 1 050 нових робочих місць.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30 листопада 2023 року було укладено Договір про створення та функціонування індустріального парку з КП СМР «Електроавтотранс», яке набуло статусу керуючої компанії індустріального парку «Суми».</w:t>
      </w:r>
    </w:p>
    <w:p w:rsidR="00BD2014" w:rsidRPr="00924F47" w:rsidRDefault="00BD2014" w:rsidP="00924F47">
      <w:pPr>
        <w:spacing w:before="60" w:after="60" w:line="240" w:lineRule="auto"/>
        <w:rPr>
          <w:rFonts w:ascii="Myriad Pro" w:eastAsia="Times New Roman" w:hAnsi="Myriad Pro" w:cs="Arial"/>
          <w:color w:val="1F1F1F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lang w:val="uk-UA" w:eastAsia="ru-RU"/>
        </w:rPr>
        <w:t>Пріоритетними видами діяльності для розміщення в індустріальному парку є наступні :</w:t>
      </w:r>
    </w:p>
    <w:p w:rsidR="00BD2014" w:rsidRPr="00924F47" w:rsidRDefault="00BD2014" w:rsidP="00924F47">
      <w:pPr>
        <w:pStyle w:val="Default"/>
        <w:numPr>
          <w:ilvl w:val="0"/>
          <w:numId w:val="1"/>
        </w:numPr>
        <w:spacing w:before="60" w:after="60"/>
        <w:jc w:val="both"/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  <w:t>переробна промисловість</w:t>
      </w:r>
      <w:r w:rsidR="006E3FE8" w:rsidRPr="00924F47"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  <w:t>,</w:t>
      </w:r>
      <w:r w:rsidRPr="00924F47"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  <w:t xml:space="preserve"> виробництво готових металевих виробів, металообробки і машинобудування; виробництво компонентів для автомобілів; виробництво гумових та пластмасових виробів; деревообробне підприємство;</w:t>
      </w:r>
    </w:p>
    <w:p w:rsidR="00BD2014" w:rsidRPr="00924F47" w:rsidRDefault="00BD2014" w:rsidP="00924F47">
      <w:pPr>
        <w:pStyle w:val="Default"/>
        <w:numPr>
          <w:ilvl w:val="0"/>
          <w:numId w:val="1"/>
        </w:numPr>
        <w:spacing w:before="60" w:after="60"/>
        <w:jc w:val="both"/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  <w:t>науково-дослідна діяльність;</w:t>
      </w:r>
    </w:p>
    <w:p w:rsidR="00BD2014" w:rsidRPr="00924F47" w:rsidRDefault="00BD2014" w:rsidP="00924F47">
      <w:pPr>
        <w:pStyle w:val="Default"/>
        <w:numPr>
          <w:ilvl w:val="0"/>
          <w:numId w:val="1"/>
        </w:numPr>
        <w:spacing w:before="60" w:after="60"/>
        <w:jc w:val="both"/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</w:pPr>
      <w:r w:rsidRPr="00924F47">
        <w:rPr>
          <w:rFonts w:ascii="Myriad Pro" w:eastAsia="Times New Roman" w:hAnsi="Myriad Pro" w:cs="Arial"/>
          <w:color w:val="1F1F1F"/>
          <w:sz w:val="22"/>
          <w:szCs w:val="22"/>
          <w:lang w:val="uk-UA" w:eastAsia="ru-RU"/>
        </w:rPr>
        <w:t>інші, сумісні з вищезазначеними, галузі, такі як транспорт та складське господарство, в тому числі (підготовка та зберігання сільськогосподарської продукції; логістичний комплекс).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/>
          <w:lang w:val="uk-UA"/>
        </w:rPr>
        <w:t xml:space="preserve">На території громади діє Цільова Програма підтримки малого і середнього підприємництва Сумської міської територіальної громади на 2022-2024 роки. </w:t>
      </w:r>
      <w:r w:rsidRPr="00924F47">
        <w:rPr>
          <w:rFonts w:ascii="Myriad Pro" w:hAnsi="Myriad Pro" w:cs="Arial"/>
          <w:lang w:val="uk-UA"/>
        </w:rPr>
        <w:t>Більшість ставок місцевих податків є нижчими за максимальний рівень, передбачений законодавством, що створює умови для розвитку підприємництва. З червня 2019 року в м. Суми функціонує «Сумський Бізнес Хаб» -</w:t>
      </w:r>
      <w:r w:rsidR="006E3FE8" w:rsidRPr="00924F47">
        <w:rPr>
          <w:rFonts w:ascii="Myriad Pro" w:hAnsi="Myriad Pro" w:cs="Arial"/>
          <w:lang w:val="uk-UA"/>
        </w:rPr>
        <w:t xml:space="preserve"> </w:t>
      </w:r>
      <w:r w:rsidRPr="00924F47">
        <w:rPr>
          <w:rFonts w:ascii="Myriad Pro" w:hAnsi="Myriad Pro" w:cs="Arial"/>
          <w:lang w:val="uk-UA"/>
        </w:rPr>
        <w:t>відкритий простір для кооперації, навчання та</w:t>
      </w:r>
      <w:r w:rsidRPr="00924F47">
        <w:rPr>
          <w:rFonts w:ascii="Myriad Pro" w:eastAsia="Times New Roman" w:hAnsi="Myriad Pro" w:cs="Arial"/>
          <w:color w:val="1F1F1F"/>
          <w:lang w:val="uk-UA" w:eastAsia="ru-RU"/>
        </w:rPr>
        <w:t xml:space="preserve"> обміну ідеями представників бізнес-спільноти Сумщини, в рамках роботи якого проводяться різноманітні заходи з питань розвитку малого та середнього бізнесу</w:t>
      </w:r>
      <w:r w:rsidRPr="00924F47">
        <w:rPr>
          <w:rFonts w:ascii="Myriad Pro" w:hAnsi="Myriad Pro" w:cs="Arial"/>
          <w:lang w:val="uk-UA"/>
        </w:rPr>
        <w:t>. При Сумській міській раді працює координаційна рада з питань розвитку підприємництва.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hAnsi="Myriad Pro"/>
          <w:bCs/>
          <w:lang w:val="uk-UA"/>
        </w:rPr>
      </w:pPr>
      <w:r w:rsidRPr="00924F47">
        <w:rPr>
          <w:rFonts w:ascii="Myriad Pro" w:hAnsi="Myriad Pro" w:cs="Arial"/>
          <w:lang w:val="uk-UA"/>
        </w:rPr>
        <w:t>Міська влада на постійній основі здійснює заходи з метою сприяння залученню інвестицій з альтернативних джерел. Рішенням ВК від 22.07.2022</w:t>
      </w:r>
      <w:bookmarkStart w:id="0" w:name="_GoBack"/>
      <w:bookmarkEnd w:id="0"/>
      <w:r w:rsidRPr="00924F47">
        <w:rPr>
          <w:rFonts w:ascii="Myriad Pro" w:hAnsi="Myriad Pro" w:cs="Arial"/>
          <w:lang w:val="uk-UA"/>
        </w:rPr>
        <w:t xml:space="preserve"> було затверджено «Програму розвитку міжнародної співпраці та сприяння формуванню позитивного інвестиційного іміджу Сумської міської територіальної громади на 2022-2024 роки». </w:t>
      </w:r>
      <w:r w:rsidRPr="00924F47">
        <w:rPr>
          <w:rFonts w:ascii="Myriad Pro" w:hAnsi="Myriad Pro"/>
          <w:bCs/>
          <w:lang w:val="uk-UA"/>
        </w:rPr>
        <w:t>У Сумської міської ради наявний досвід успішної реалізації численних інвестиційних проєктів за участі міжнародних фінансових та донорських організацій. Але на даний час постійні обстріли громади ускладнюють здійснення інвестиційної діяльності.</w:t>
      </w:r>
    </w:p>
    <w:p w:rsidR="00BD2014" w:rsidRPr="00924F47" w:rsidRDefault="00BD2014" w:rsidP="00924F47">
      <w:pPr>
        <w:spacing w:before="60" w:after="60" w:line="240" w:lineRule="auto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 w:cs="Arial"/>
          <w:lang w:val="uk-UA"/>
        </w:rPr>
        <w:t>Для проведення аналітичного дослідження були використані матеріали, отримані від Сумської міської ради, у тому числі: казначейська звітність, програмні матеріали, інша необхідна внутрішня інформація, а також інформація з відкритих джерел, яку Рейтингове агентство вважає достовірною.</w:t>
      </w:r>
    </w:p>
    <w:p w:rsidR="00BD2014" w:rsidRPr="00924F47" w:rsidRDefault="00BD2014" w:rsidP="00BD2014">
      <w:pPr>
        <w:spacing w:after="0" w:line="240" w:lineRule="auto"/>
        <w:ind w:firstLine="284"/>
        <w:jc w:val="both"/>
        <w:rPr>
          <w:rFonts w:ascii="Myriad Pro" w:hAnsi="Myriad Pro" w:cs="Arial"/>
          <w:lang w:val="uk-UA"/>
        </w:rPr>
      </w:pPr>
    </w:p>
    <w:p w:rsidR="00BD2014" w:rsidRPr="00924F47" w:rsidRDefault="00BD2014" w:rsidP="00BD2014">
      <w:pPr>
        <w:spacing w:after="0" w:line="240" w:lineRule="auto"/>
        <w:ind w:firstLine="284"/>
        <w:jc w:val="both"/>
        <w:rPr>
          <w:rStyle w:val="a3"/>
          <w:rFonts w:ascii="Myriad Pro" w:hAnsi="Myriad Pro" w:cs="Arial"/>
          <w:lang w:val="uk-UA"/>
        </w:rPr>
      </w:pPr>
      <w:r w:rsidRPr="00924F47">
        <w:rPr>
          <w:rStyle w:val="a3"/>
          <w:rFonts w:ascii="Myriad Pro" w:hAnsi="Myriad Pro" w:cs="Arial"/>
          <w:lang w:val="uk-UA"/>
        </w:rPr>
        <w:t>Муніципальний департамент</w:t>
      </w:r>
    </w:p>
    <w:p w:rsidR="00BD2014" w:rsidRPr="00924F47" w:rsidRDefault="00BD2014" w:rsidP="00BD2014">
      <w:pPr>
        <w:spacing w:after="0" w:line="240" w:lineRule="auto"/>
        <w:ind w:firstLine="284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 w:cs="Arial"/>
          <w:lang w:val="uk-UA"/>
        </w:rPr>
        <w:t>За додатковою інформацією звертайтесь:</w:t>
      </w:r>
    </w:p>
    <w:p w:rsidR="00BD2014" w:rsidRPr="00924F47" w:rsidRDefault="00076F50" w:rsidP="00BD2014">
      <w:pPr>
        <w:spacing w:after="0" w:line="240" w:lineRule="auto"/>
        <w:ind w:firstLine="284"/>
        <w:jc w:val="both"/>
        <w:rPr>
          <w:rFonts w:ascii="Myriad Pro" w:hAnsi="Myriad Pro" w:cs="Arial"/>
          <w:lang w:val="uk-UA"/>
        </w:rPr>
      </w:pPr>
      <w:hyperlink r:id="rId7" w:history="1">
        <w:r w:rsidR="00BD2014" w:rsidRPr="00924F47">
          <w:rPr>
            <w:rStyle w:val="a4"/>
            <w:rFonts w:ascii="Myriad Pro" w:hAnsi="Myriad Pro" w:cs="Arial"/>
            <w:lang w:val="uk-UA"/>
          </w:rPr>
          <w:t>Прес-служба IBI-Rating</w:t>
        </w:r>
      </w:hyperlink>
    </w:p>
    <w:p w:rsidR="00BD2014" w:rsidRPr="00924F47" w:rsidRDefault="00BD2014" w:rsidP="00BD2014">
      <w:pPr>
        <w:spacing w:after="0" w:line="240" w:lineRule="auto"/>
        <w:ind w:firstLine="284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 w:cs="Arial"/>
          <w:lang w:val="uk-UA"/>
        </w:rPr>
        <w:t>(044) 362-90-84</w:t>
      </w:r>
    </w:p>
    <w:p w:rsidR="00BD2014" w:rsidRPr="00924F47" w:rsidRDefault="00BD2014" w:rsidP="00BD2014">
      <w:pPr>
        <w:spacing w:after="0" w:line="240" w:lineRule="auto"/>
        <w:ind w:firstLine="284"/>
        <w:jc w:val="both"/>
        <w:rPr>
          <w:rFonts w:ascii="Myriad Pro" w:hAnsi="Myriad Pro" w:cs="Arial"/>
          <w:lang w:val="uk-UA"/>
        </w:rPr>
      </w:pPr>
      <w:r w:rsidRPr="00924F47">
        <w:rPr>
          <w:rFonts w:ascii="Myriad Pro" w:hAnsi="Myriad Pro" w:cs="Arial"/>
          <w:lang w:val="uk-UA"/>
        </w:rPr>
        <w:t>press(at)ibi.com.ua</w:t>
      </w:r>
    </w:p>
    <w:p w:rsidR="003E7566" w:rsidRPr="00924F47" w:rsidRDefault="003E7566">
      <w:pPr>
        <w:rPr>
          <w:lang w:val="uk-UA"/>
        </w:rPr>
      </w:pPr>
    </w:p>
    <w:sectPr w:rsidR="003E7566" w:rsidRPr="00924F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50" w:rsidRDefault="00076F50" w:rsidP="00064403">
      <w:pPr>
        <w:spacing w:after="0" w:line="240" w:lineRule="auto"/>
      </w:pPr>
      <w:r>
        <w:separator/>
      </w:r>
    </w:p>
  </w:endnote>
  <w:endnote w:type="continuationSeparator" w:id="0">
    <w:p w:rsidR="00076F50" w:rsidRDefault="00076F50" w:rsidP="0006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50" w:rsidRDefault="00076F50" w:rsidP="00064403">
      <w:pPr>
        <w:spacing w:after="0" w:line="240" w:lineRule="auto"/>
      </w:pPr>
      <w:r>
        <w:separator/>
      </w:r>
    </w:p>
  </w:footnote>
  <w:footnote w:type="continuationSeparator" w:id="0">
    <w:p w:rsidR="00076F50" w:rsidRDefault="00076F50" w:rsidP="0006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51FF"/>
    <w:multiLevelType w:val="multilevel"/>
    <w:tmpl w:val="EF80B4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14"/>
    <w:rsid w:val="00064403"/>
    <w:rsid w:val="00076F50"/>
    <w:rsid w:val="00111756"/>
    <w:rsid w:val="001E0368"/>
    <w:rsid w:val="003E7566"/>
    <w:rsid w:val="004C6B6B"/>
    <w:rsid w:val="0053717B"/>
    <w:rsid w:val="00666130"/>
    <w:rsid w:val="006B18C8"/>
    <w:rsid w:val="006E3FE8"/>
    <w:rsid w:val="006F33EC"/>
    <w:rsid w:val="0082652B"/>
    <w:rsid w:val="008D2684"/>
    <w:rsid w:val="00924F47"/>
    <w:rsid w:val="00B2175D"/>
    <w:rsid w:val="00BD2014"/>
    <w:rsid w:val="00BE0F4F"/>
    <w:rsid w:val="00C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D24D3"/>
  <w15:chartTrackingRefBased/>
  <w15:docId w15:val="{E8B0DAA8-9F40-41DF-A8B4-8F9FF45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014"/>
    <w:rPr>
      <w:b/>
      <w:bCs/>
    </w:rPr>
  </w:style>
  <w:style w:type="character" w:styleId="a4">
    <w:name w:val="Hyperlink"/>
    <w:basedOn w:val="a0"/>
    <w:uiPriority w:val="99"/>
    <w:semiHidden/>
    <w:unhideWhenUsed/>
    <w:rsid w:val="00BD2014"/>
    <w:rPr>
      <w:color w:val="0000FF"/>
      <w:u w:val="single"/>
    </w:rPr>
  </w:style>
  <w:style w:type="paragraph" w:customStyle="1" w:styleId="Default">
    <w:name w:val="Default"/>
    <w:rsid w:val="00BD201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06440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403"/>
    <w:rPr>
      <w:lang w:val="ru-RU"/>
    </w:rPr>
  </w:style>
  <w:style w:type="paragraph" w:styleId="a7">
    <w:name w:val="footer"/>
    <w:basedOn w:val="a"/>
    <w:link w:val="a8"/>
    <w:uiPriority w:val="99"/>
    <w:unhideWhenUsed/>
    <w:rsid w:val="0006440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40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i.com.ua/UK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 Kalashnikov</dc:creator>
  <cp:keywords/>
  <dc:description/>
  <cp:lastModifiedBy>Alexsandr Kalashnikov</cp:lastModifiedBy>
  <cp:revision>13</cp:revision>
  <dcterms:created xsi:type="dcterms:W3CDTF">2024-09-10T10:15:00Z</dcterms:created>
  <dcterms:modified xsi:type="dcterms:W3CDTF">2024-09-11T08:29:00Z</dcterms:modified>
</cp:coreProperties>
</file>