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6D" w:rsidRPr="00797071" w:rsidRDefault="0058486D" w:rsidP="006B7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4ADF" w:rsidRPr="00474352" w:rsidRDefault="00E02821" w:rsidP="0047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Аналіз</w:t>
      </w:r>
      <w:proofErr w:type="spellEnd"/>
    </w:p>
    <w:p w:rsidR="00FB461B" w:rsidRPr="00474352" w:rsidRDefault="00E02821" w:rsidP="00474352">
      <w:pPr>
        <w:tabs>
          <w:tab w:val="left" w:pos="5245"/>
        </w:tabs>
        <w:spacing w:after="0"/>
        <w:ind w:right="62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</w:pPr>
      <w:r w:rsidRPr="00474352">
        <w:rPr>
          <w:rFonts w:ascii="Times New Roman" w:hAnsi="Times New Roman" w:cs="Times New Roman"/>
          <w:b/>
          <w:sz w:val="26"/>
          <w:szCs w:val="26"/>
        </w:rPr>
        <w:t xml:space="preserve">регуляторного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впливу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до про</w:t>
      </w:r>
      <w:r w:rsidR="00044ADF" w:rsidRPr="00474352">
        <w:rPr>
          <w:rFonts w:ascii="Times New Roman" w:hAnsi="Times New Roman" w:cs="Times New Roman"/>
          <w:b/>
          <w:sz w:val="26"/>
          <w:szCs w:val="26"/>
          <w:lang w:val="uk-UA"/>
        </w:rPr>
        <w:t>є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кту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044ADF" w:rsidRPr="00474352">
        <w:rPr>
          <w:rFonts w:ascii="Times New Roman" w:hAnsi="Times New Roman" w:cs="Times New Roman"/>
          <w:b/>
          <w:sz w:val="26"/>
          <w:szCs w:val="26"/>
          <w:lang w:val="uk-UA"/>
        </w:rPr>
        <w:t>р</w:t>
      </w:r>
      <w:proofErr w:type="gramEnd"/>
      <w:r w:rsidR="00044ADF" w:rsidRPr="004743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ішення сесії </w:t>
      </w:r>
      <w:r w:rsidR="00FB461B" w:rsidRPr="00474352">
        <w:rPr>
          <w:rFonts w:ascii="Times New Roman" w:hAnsi="Times New Roman" w:cs="Times New Roman"/>
          <w:b/>
          <w:sz w:val="26"/>
          <w:szCs w:val="26"/>
          <w:lang w:val="uk-UA"/>
        </w:rPr>
        <w:t>Іванівської селищної ради</w:t>
      </w:r>
      <w:r w:rsidR="00044ADF" w:rsidRPr="004743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47435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B461B" w:rsidRPr="00474352"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  <w:t>Про затвердження положення про оренду комунального майна</w:t>
      </w:r>
    </w:p>
    <w:p w:rsidR="00FB461B" w:rsidRPr="00474352" w:rsidRDefault="00FB461B" w:rsidP="00474352">
      <w:pPr>
        <w:tabs>
          <w:tab w:val="left" w:pos="5245"/>
        </w:tabs>
        <w:spacing w:after="0"/>
        <w:ind w:right="62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</w:pPr>
      <w:r w:rsidRPr="00474352"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  <w:t>та забезпечення відносин у сфері оренди комунального майна</w:t>
      </w:r>
    </w:p>
    <w:p w:rsidR="00044ADF" w:rsidRPr="00474352" w:rsidRDefault="00FB461B" w:rsidP="004743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eastAsia="Calibri" w:hAnsi="Times New Roman" w:cs="Times New Roman"/>
          <w:b/>
          <w:sz w:val="26"/>
          <w:szCs w:val="26"/>
          <w:lang w:val="uk-UA" w:eastAsia="en-US"/>
        </w:rPr>
        <w:t>Іванівської селищної територіальної</w:t>
      </w:r>
      <w:r w:rsidRPr="00474352">
        <w:rPr>
          <w:rFonts w:ascii="Times New Roman" w:eastAsia="Times New Roman" w:hAnsi="Times New Roman" w:cs="Times New Roman"/>
          <w:b/>
          <w:sz w:val="26"/>
          <w:szCs w:val="26"/>
        </w:rPr>
        <w:t>  </w:t>
      </w:r>
      <w:r w:rsidRPr="0047435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громади</w:t>
      </w:r>
      <w:r w:rsidR="00202628" w:rsidRPr="00474352">
        <w:rPr>
          <w:rFonts w:ascii="Times New Roman" w:hAnsi="Times New Roman" w:cs="Times New Roman"/>
          <w:b/>
          <w:bCs/>
          <w:sz w:val="26"/>
          <w:szCs w:val="26"/>
          <w:lang w:val="uk-UA" w:eastAsia="uk-UA"/>
        </w:rPr>
        <w:t>»</w:t>
      </w:r>
    </w:p>
    <w:p w:rsidR="00044ADF" w:rsidRPr="00474352" w:rsidRDefault="00044ADF" w:rsidP="006B77B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44ADF" w:rsidRPr="00474352" w:rsidRDefault="00E02821" w:rsidP="006B77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b/>
          <w:sz w:val="26"/>
          <w:szCs w:val="26"/>
        </w:rPr>
        <w:t xml:space="preserve">I.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Визначення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проблеми</w:t>
      </w:r>
      <w:proofErr w:type="spellEnd"/>
    </w:p>
    <w:p w:rsidR="00ED0A79" w:rsidRPr="00474352" w:rsidRDefault="0000264C" w:rsidP="006B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01 лютого 2020 року введено в дію новий Закон України </w:t>
      </w:r>
      <w:r w:rsidR="00FB461B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від 03  жовтня </w:t>
      </w:r>
      <w:r w:rsidR="002A3CE5" w:rsidRPr="00474352">
        <w:rPr>
          <w:rFonts w:ascii="Times New Roman" w:hAnsi="Times New Roman" w:cs="Times New Roman"/>
          <w:sz w:val="26"/>
          <w:szCs w:val="26"/>
          <w:lang w:val="uk-UA"/>
        </w:rPr>
        <w:br/>
      </w:r>
      <w:r w:rsidR="00FB461B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2019 року № 157-IX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«Про оренду державного та комунального майна» (далі-Закон), положення якого свідчить про повну трансформацію відносин у сфері оренди державного та комунального майна. </w:t>
      </w:r>
    </w:p>
    <w:p w:rsidR="00ED0A79" w:rsidRPr="00474352" w:rsidRDefault="0000264C" w:rsidP="006B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Зокрема, кардинально змінюється процедура передачі майна в оренду, продовження орендних відносин, а саме, запровадження цих процедур через електронний аукціоні з використанням  електронної торгової системи, змінюється  процедура визначення вартості об’єкта оренди, також розширено коло суб’єктів, які наділені розпорядчими повноваженнями, пропонується систематизувати об’єкти оренди за певними переліками. </w:t>
      </w:r>
    </w:p>
    <w:p w:rsidR="00ED0A79" w:rsidRPr="00474352" w:rsidRDefault="0000264C" w:rsidP="006B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Електронний аукціон – спосіб надання в оренду майна, за яким переможцем стає учасник, що в ході торгів в електронній торговій системі </w:t>
      </w:r>
      <w:proofErr w:type="spellStart"/>
      <w:r w:rsidRPr="00474352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, Продажі запропонував найбільшу орендну плату. Використання електронної торгової системи </w:t>
      </w:r>
      <w:proofErr w:type="spellStart"/>
      <w:r w:rsidRPr="00474352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 дозволить значно підвищити попит на оренду комунального майна завдяки сучасним електронним сервісам, дасть можливість дистанційної подачі заяви та документів щодо отримання права оренди комунального майна, нівелюватиме будь-які можливі домовленості між учасниками торгів чи сумніви щодо прозорості процедури визначення орендаря, тобто виключить будь-які корупційні ризики. </w:t>
      </w:r>
    </w:p>
    <w:p w:rsidR="00FB3994" w:rsidRPr="00474352" w:rsidRDefault="00ED0A79" w:rsidP="00FB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Також, Закон передбачає затвердження Кабінетом Міністрів України ряду підзаконних нормативно-правових актів щодо оренди державного майна та можливість для представницьких органів місцевого самоврядування самостійного розроблення та затвердження нормативних актів щодо комунального майна з метою врахування особливостей такого майна.</w:t>
      </w:r>
    </w:p>
    <w:p w:rsidR="00FB3994" w:rsidRPr="00474352" w:rsidRDefault="00FB3994" w:rsidP="006B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FB461B" w:rsidRPr="00474352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XXXI</w:t>
      </w:r>
      <w:r w:rsidR="00FB461B" w:rsidRPr="0047435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сесії Іванівської селищної ради </w:t>
      </w:r>
      <w:r w:rsidR="00FB461B" w:rsidRPr="00474352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VI</w:t>
      </w:r>
      <w:r w:rsidR="00FB461B" w:rsidRPr="0047435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скликання від </w:t>
      </w:r>
      <w:r w:rsidR="00FB461B" w:rsidRPr="00474352">
        <w:rPr>
          <w:rFonts w:ascii="Times New Roman" w:eastAsia="Calibri" w:hAnsi="Times New Roman" w:cs="Times New Roman"/>
          <w:sz w:val="26"/>
          <w:szCs w:val="26"/>
          <w:lang w:val="uk-UA" w:eastAsia="en-US"/>
        </w:rPr>
        <w:br/>
        <w:t xml:space="preserve">07 лютого 2014 року № 435 «Про затвердження Порядку передачі в оренду майна комунальної власності територіальної громади селища»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було затверджено ряд локальних нормативно – правових актів з питань оренди комунального майна </w:t>
      </w:r>
      <w:r w:rsidR="00FB461B" w:rsidRPr="00474352">
        <w:rPr>
          <w:rFonts w:ascii="Times New Roman" w:hAnsi="Times New Roman" w:cs="Times New Roman"/>
          <w:sz w:val="26"/>
          <w:szCs w:val="26"/>
          <w:lang w:val="uk-UA"/>
        </w:rPr>
        <w:t>Іванівської селищної ради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. Проте, ці документи не можуть застосовуватись, оскільки не відповідають, а інколи і суперечать зміненому законодавству з питань оренди комунального майна. Внесення змін до вказаних документів з метою приведення їх у відповідність до зміненого законодавства є недоцільним</w:t>
      </w:r>
      <w:r w:rsidR="0015732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B461B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оскільки вони повністю змін</w:t>
      </w:r>
      <w:r w:rsidR="002A3CE5" w:rsidRPr="00474352">
        <w:rPr>
          <w:rFonts w:ascii="Times New Roman" w:hAnsi="Times New Roman" w:cs="Times New Roman"/>
          <w:sz w:val="26"/>
          <w:szCs w:val="26"/>
          <w:lang w:val="uk-UA"/>
        </w:rPr>
        <w:t>юються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A3CE5" w:rsidRPr="00474352">
        <w:rPr>
          <w:rFonts w:ascii="Times New Roman" w:hAnsi="Times New Roman" w:cs="Times New Roman"/>
          <w:sz w:val="26"/>
          <w:szCs w:val="26"/>
          <w:lang w:val="uk-UA"/>
        </w:rPr>
        <w:t>Тим більше</w:t>
      </w:r>
      <w:r w:rsidR="0015732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A3CE5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що у 2020 році відбулося приєднання 6 сільських рад до Іванівської селищної ради в яких були свої нормативно-правові акти з питань оренди майна.</w:t>
      </w:r>
    </w:p>
    <w:p w:rsidR="0063499E" w:rsidRPr="00474352" w:rsidRDefault="00E02821" w:rsidP="006B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352">
        <w:rPr>
          <w:rFonts w:ascii="Times New Roman" w:hAnsi="Times New Roman" w:cs="Times New Roman"/>
          <w:sz w:val="26"/>
          <w:szCs w:val="26"/>
        </w:rPr>
        <w:t xml:space="preserve">Таким чином, передача </w:t>
      </w:r>
      <w:r w:rsidR="007104D8" w:rsidRPr="00474352">
        <w:rPr>
          <w:rFonts w:ascii="Times New Roman" w:hAnsi="Times New Roman" w:cs="Times New Roman"/>
          <w:sz w:val="26"/>
          <w:szCs w:val="26"/>
          <w:lang w:val="uk-UA"/>
        </w:rPr>
        <w:t>комунального</w:t>
      </w:r>
      <w:r w:rsidRPr="00474352">
        <w:rPr>
          <w:rFonts w:ascii="Times New Roman" w:hAnsi="Times New Roman" w:cs="Times New Roman"/>
          <w:sz w:val="26"/>
          <w:szCs w:val="26"/>
        </w:rPr>
        <w:t xml:space="preserve"> майна в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ускладнюється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зв’язку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відсутністю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необхідних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7435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74352">
        <w:rPr>
          <w:rFonts w:ascii="Times New Roman" w:hAnsi="Times New Roman" w:cs="Times New Roman"/>
          <w:sz w:val="26"/>
          <w:szCs w:val="26"/>
        </w:rPr>
        <w:t>ідзаконних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="00157327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б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деталізували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Закону. </w:t>
      </w:r>
    </w:p>
    <w:p w:rsidR="00FB3994" w:rsidRPr="00474352" w:rsidRDefault="00FB3994" w:rsidP="006B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Отже, на сьогодні існує необхідність затвердження передбачених Законом нормативно-правових актів з питань оренди комунального майна </w:t>
      </w:r>
      <w:r w:rsidR="00FB461B" w:rsidRPr="00474352">
        <w:rPr>
          <w:rFonts w:ascii="Times New Roman" w:hAnsi="Times New Roman" w:cs="Times New Roman"/>
          <w:sz w:val="26"/>
          <w:szCs w:val="26"/>
          <w:lang w:val="uk-UA"/>
        </w:rPr>
        <w:t>Іванівської селищної територіальної громади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260F2" w:rsidRPr="00474352" w:rsidRDefault="00D260F2" w:rsidP="00D2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В цілому прийняття </w:t>
      </w:r>
      <w:r w:rsidR="00157327">
        <w:rPr>
          <w:rFonts w:ascii="Times New Roman" w:hAnsi="Times New Roman" w:cs="Times New Roman"/>
          <w:sz w:val="26"/>
          <w:szCs w:val="26"/>
          <w:lang w:val="uk-UA"/>
        </w:rPr>
        <w:t>цього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рішення дасть змогу реалізувати норми нового Закону України «Про оренду державного та комунального майна», зокрема, передавати в оренду об’єкти комунальної власності </w:t>
      </w:r>
      <w:r w:rsidR="00FB461B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Іванівської селищної </w:t>
      </w:r>
      <w:r w:rsidR="00FB461B" w:rsidRPr="00474352">
        <w:rPr>
          <w:rFonts w:ascii="Times New Roman" w:hAnsi="Times New Roman" w:cs="Times New Roman"/>
          <w:sz w:val="26"/>
          <w:szCs w:val="26"/>
          <w:lang w:val="uk-UA"/>
        </w:rPr>
        <w:lastRenderedPageBreak/>
        <w:t>територіальної громади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(крім землі) на конкурентних засадах способом проведення електронного аукціону з надання майна в оренду (в тому числі електронного аукціону щодо продовження договору оренди) з врахуванням особливостей комунального майна в межах, визначених цим Законом. </w:t>
      </w:r>
    </w:p>
    <w:p w:rsidR="00D260F2" w:rsidRPr="00474352" w:rsidRDefault="00D260F2" w:rsidP="00D2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Оренда майна є одним із методів ефективного управління комунальним майном та джерелом наповнення </w:t>
      </w:r>
      <w:r w:rsidR="002A3CE5" w:rsidRPr="00474352">
        <w:rPr>
          <w:rFonts w:ascii="Times New Roman" w:hAnsi="Times New Roman" w:cs="Times New Roman"/>
          <w:sz w:val="26"/>
          <w:szCs w:val="26"/>
          <w:lang w:val="uk-UA"/>
        </w:rPr>
        <w:t>селищного бюджету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260F2" w:rsidRPr="00474352" w:rsidRDefault="00D260F2" w:rsidP="00D260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         Отже, передача об’єктів комунальної власності на конкурсних засадах, </w:t>
      </w:r>
      <w:r w:rsidR="00FB461B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через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проведення електронного аукціону з надання майна в оренду через електронну торгову систему забезпечить високий рівень відкритості, доступності інформації щодо проведення процедур передачі комунального майна в оренду, виключить корупційні ризики при передачі комунального майна в оренду, забезпечить високий рівень довіри до органів місцевого самоврядування, як до суб’єкта господарсько-правових відносин.</w:t>
      </w:r>
    </w:p>
    <w:p w:rsidR="003C2F73" w:rsidRPr="00474352" w:rsidRDefault="00373007" w:rsidP="00373007">
      <w:pPr>
        <w:tabs>
          <w:tab w:val="left" w:pos="709"/>
        </w:tabs>
        <w:spacing w:after="0"/>
        <w:ind w:right="6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FB461B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Іванівською селищною радою </w:t>
      </w:r>
      <w:r w:rsidR="003C2F73" w:rsidRPr="00474352">
        <w:rPr>
          <w:rFonts w:ascii="Times New Roman" w:hAnsi="Times New Roman" w:cs="Times New Roman"/>
          <w:sz w:val="26"/>
          <w:szCs w:val="26"/>
          <w:lang w:val="uk-UA"/>
        </w:rPr>
        <w:t>розроблено проєкт рішення «</w:t>
      </w:r>
      <w:r w:rsidRPr="0047435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Про затвердження положення про оренду комунального майна та забезпечення відносин у сфері оренди комунального майна Іванівської селищної територіальної</w:t>
      </w:r>
      <w:r w:rsidRPr="00474352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громади</w:t>
      </w:r>
      <w:r w:rsidR="003C2F73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».  </w:t>
      </w:r>
      <w:r w:rsidR="00157327">
        <w:rPr>
          <w:rFonts w:ascii="Times New Roman" w:hAnsi="Times New Roman" w:cs="Times New Roman"/>
          <w:sz w:val="26"/>
          <w:szCs w:val="26"/>
          <w:lang w:val="uk-UA"/>
        </w:rPr>
        <w:t>Цей</w:t>
      </w:r>
      <w:r w:rsidR="003C2F73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проєкт передбачає:</w:t>
      </w:r>
    </w:p>
    <w:p w:rsidR="00F57896" w:rsidRPr="00474352" w:rsidRDefault="003C2F73" w:rsidP="00F57896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«… </w:t>
      </w:r>
      <w:r w:rsidR="00F57896" w:rsidRPr="00474352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F57896" w:rsidRPr="0047435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рішення </w:t>
      </w:r>
      <w:r w:rsidR="00F57896" w:rsidRPr="00474352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XXXI</w:t>
      </w:r>
      <w:r w:rsidR="00F57896" w:rsidRPr="0047435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сесії Іванівської селищної ради </w:t>
      </w:r>
      <w:r w:rsidR="00F57896" w:rsidRPr="00474352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VI</w:t>
      </w:r>
      <w:r w:rsidR="00F57896" w:rsidRPr="0047435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скликання від </w:t>
      </w:r>
      <w:r w:rsidR="00F57896" w:rsidRPr="00474352">
        <w:rPr>
          <w:rFonts w:ascii="Times New Roman" w:eastAsia="Calibri" w:hAnsi="Times New Roman" w:cs="Times New Roman"/>
          <w:sz w:val="26"/>
          <w:szCs w:val="26"/>
          <w:lang w:val="uk-UA" w:eastAsia="en-US"/>
        </w:rPr>
        <w:br/>
        <w:t>07 лютого 2014 року № 435 «Про затвердження Порядку передачі в оренду майна комунальної власності територіальної громади селища»;</w:t>
      </w:r>
    </w:p>
    <w:p w:rsidR="00F57896" w:rsidRPr="00474352" w:rsidRDefault="00F57896" w:rsidP="00F57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0" w:name="OLE_LINK13"/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2) рішення </w:t>
      </w:r>
      <w:bookmarkEnd w:id="0"/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LX 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сесії Фрунзенської сільської ради 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 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скликання від 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br/>
        <w:t>21 жовтня 2015 року № 329 «Про затвердження Порядку передачі в оренду майна комунальної власності територіальної громади с. Фрунзе в новій редакції»;</w:t>
      </w:r>
    </w:p>
    <w:p w:rsidR="00F57896" w:rsidRPr="00474352" w:rsidRDefault="00F57896" w:rsidP="00F57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3) рішення 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XVI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сесії Першотравневої сільської ради 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скликання від 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br/>
        <w:t>08 серпня 2012 року № 142 «Про затвердження Порядку передачі в оренду майна спільної власності територіальної громади села Першотравневе»;</w:t>
      </w:r>
    </w:p>
    <w:p w:rsidR="00F57896" w:rsidRPr="00474352" w:rsidRDefault="00F57896" w:rsidP="00F57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4) рішення 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XXIV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сесії Першотравневої сільської ради 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скликання від </w:t>
      </w:r>
      <w:r w:rsidR="00244ABA"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br/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29 липня 2013 року № 191 "Про типові договори оренди майна комунальної власності Першотравневої сільської ради»</w:t>
      </w:r>
    </w:p>
    <w:p w:rsidR="00F57896" w:rsidRPr="00474352" w:rsidRDefault="00F57896" w:rsidP="00F57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5) рішення 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XII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сесії </w:t>
      </w:r>
      <w:proofErr w:type="spellStart"/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Любимівської</w:t>
      </w:r>
      <w:proofErr w:type="spellEnd"/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сільської ради 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скликання від </w:t>
      </w:r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br/>
        <w:t xml:space="preserve">31 січня 2014 року № 192 «Про затвердження порядку передачі в оренду майна спільної власності територіальної громади </w:t>
      </w:r>
      <w:proofErr w:type="spellStart"/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Любимівської</w:t>
      </w:r>
      <w:proofErr w:type="spellEnd"/>
      <w:r w:rsidRPr="00474352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сільської ради в новій редакції»;</w:t>
      </w:r>
    </w:p>
    <w:p w:rsidR="003C2F73" w:rsidRPr="00474352" w:rsidRDefault="003C2F73" w:rsidP="00F57896">
      <w:pPr>
        <w:tabs>
          <w:tab w:val="left" w:pos="993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З огляду на зазначене, а також на виконання пункту 8 Прикінцевих та перехідних положень Закону, постала потреба в розробленні відповідного нормативного акта.</w:t>
      </w:r>
    </w:p>
    <w:p w:rsidR="002A3CE5" w:rsidRPr="00474352" w:rsidRDefault="006B77B1" w:rsidP="006B7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У комунальній власності </w:t>
      </w:r>
      <w:r w:rsidR="002A3CE5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Іванівської селищної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B0049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ради </w:t>
      </w:r>
      <w:r w:rsidR="00E06A97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перебуває </w:t>
      </w:r>
      <w:r w:rsidR="002A3CE5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25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об’єкт</w:t>
      </w:r>
      <w:r w:rsidR="002A3CE5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ів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нерухомого майна, </w:t>
      </w:r>
      <w:r w:rsidRPr="004743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які </w:t>
      </w:r>
      <w:r w:rsidR="002A3CE5" w:rsidRPr="004743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на</w:t>
      </w:r>
      <w:r w:rsidR="00157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2A3CE5" w:rsidRPr="004743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сьогодні перереєстровуються, оформляються і потім їх можна передати в оренду.</w:t>
      </w:r>
    </w:p>
    <w:p w:rsidR="006B77B1" w:rsidRPr="00474352" w:rsidRDefault="006B77B1" w:rsidP="001573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5732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Таблиця кількісних показників договорів оренди, укладених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балансоутримувачами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комунального майна </w:t>
      </w:r>
      <w:r w:rsidR="002A3CE5" w:rsidRPr="004743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>Іванівської селищної</w:t>
      </w:r>
      <w:r w:rsidRPr="0047435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ради </w:t>
      </w:r>
      <w:r w:rsidR="0015732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станом на </w:t>
      </w:r>
      <w:r w:rsidR="00157327">
        <w:rPr>
          <w:rFonts w:ascii="Times New Roman" w:eastAsia="Times New Roman" w:hAnsi="Times New Roman" w:cs="Times New Roman"/>
          <w:sz w:val="26"/>
          <w:szCs w:val="26"/>
          <w:lang w:val="uk-UA"/>
        </w:rPr>
        <w:br/>
        <w:t>01 серпня</w:t>
      </w:r>
      <w:r w:rsidR="00157327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20</w:t>
      </w:r>
      <w:r w:rsidR="00B91C04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2A3CE5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="001611FF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р.: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B77B1" w:rsidRPr="00157327" w:rsidTr="00E06A97">
        <w:tc>
          <w:tcPr>
            <w:tcW w:w="1914" w:type="dxa"/>
          </w:tcPr>
          <w:p w:rsidR="006B77B1" w:rsidRPr="00474352" w:rsidRDefault="006B77B1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Орендарі</w:t>
            </w:r>
          </w:p>
        </w:tc>
        <w:tc>
          <w:tcPr>
            <w:tcW w:w="1914" w:type="dxa"/>
          </w:tcPr>
          <w:p w:rsidR="006B77B1" w:rsidRPr="00157327" w:rsidRDefault="006B77B1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Фізичні особи (громадяни)</w:t>
            </w:r>
          </w:p>
        </w:tc>
        <w:tc>
          <w:tcPr>
            <w:tcW w:w="1914" w:type="dxa"/>
          </w:tcPr>
          <w:p w:rsidR="006B77B1" w:rsidRPr="00157327" w:rsidRDefault="006B77B1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ФОП</w:t>
            </w:r>
          </w:p>
        </w:tc>
        <w:tc>
          <w:tcPr>
            <w:tcW w:w="1914" w:type="dxa"/>
          </w:tcPr>
          <w:p w:rsidR="006B77B1" w:rsidRPr="00157327" w:rsidRDefault="006B77B1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Юридичні особи</w:t>
            </w:r>
          </w:p>
        </w:tc>
        <w:tc>
          <w:tcPr>
            <w:tcW w:w="1915" w:type="dxa"/>
          </w:tcPr>
          <w:p w:rsidR="006B77B1" w:rsidRPr="00157327" w:rsidRDefault="006B77B1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Загальна кількість договорів</w:t>
            </w:r>
          </w:p>
        </w:tc>
      </w:tr>
      <w:tr w:rsidR="006B77B1" w:rsidRPr="00157327" w:rsidTr="00E06A97">
        <w:tc>
          <w:tcPr>
            <w:tcW w:w="1914" w:type="dxa"/>
          </w:tcPr>
          <w:p w:rsidR="006B77B1" w:rsidRPr="00157327" w:rsidRDefault="006B77B1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914" w:type="dxa"/>
          </w:tcPr>
          <w:p w:rsidR="006B77B1" w:rsidRPr="00474352" w:rsidRDefault="00B91C04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-</w:t>
            </w:r>
          </w:p>
        </w:tc>
        <w:tc>
          <w:tcPr>
            <w:tcW w:w="1914" w:type="dxa"/>
          </w:tcPr>
          <w:p w:rsidR="006B77B1" w:rsidRPr="00474352" w:rsidRDefault="000055FE" w:rsidP="00244A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244ABA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914" w:type="dxa"/>
          </w:tcPr>
          <w:p w:rsidR="006B77B1" w:rsidRPr="00474352" w:rsidRDefault="000055FE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1915" w:type="dxa"/>
          </w:tcPr>
          <w:p w:rsidR="006B77B1" w:rsidRPr="00474352" w:rsidRDefault="000055FE" w:rsidP="00244A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="00244ABA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6B77B1" w:rsidRPr="00474352" w:rsidRDefault="006B77B1" w:rsidP="006B77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276"/>
        <w:gridCol w:w="1559"/>
        <w:gridCol w:w="1241"/>
      </w:tblGrid>
      <w:tr w:rsidR="006B77B1" w:rsidRPr="00474352" w:rsidTr="00452106">
        <w:trPr>
          <w:trHeight w:val="764"/>
        </w:trPr>
        <w:tc>
          <w:tcPr>
            <w:tcW w:w="3794" w:type="dxa"/>
          </w:tcPr>
          <w:p w:rsidR="006B77B1" w:rsidRPr="00157327" w:rsidRDefault="006B77B1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Показник</w:t>
            </w:r>
          </w:p>
        </w:tc>
        <w:tc>
          <w:tcPr>
            <w:tcW w:w="1701" w:type="dxa"/>
          </w:tcPr>
          <w:p w:rsidR="006B77B1" w:rsidRPr="00474352" w:rsidRDefault="006B77B1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Великі</w:t>
            </w:r>
          </w:p>
        </w:tc>
        <w:tc>
          <w:tcPr>
            <w:tcW w:w="1276" w:type="dxa"/>
          </w:tcPr>
          <w:p w:rsidR="006B77B1" w:rsidRPr="00474352" w:rsidRDefault="006B77B1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ередні</w:t>
            </w:r>
            <w:proofErr w:type="spellEnd"/>
          </w:p>
        </w:tc>
        <w:tc>
          <w:tcPr>
            <w:tcW w:w="1559" w:type="dxa"/>
          </w:tcPr>
          <w:p w:rsidR="006B77B1" w:rsidRPr="00474352" w:rsidRDefault="006B77B1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Малі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Мікро</w:t>
            </w:r>
            <w:proofErr w:type="spellEnd"/>
          </w:p>
        </w:tc>
        <w:tc>
          <w:tcPr>
            <w:tcW w:w="1241" w:type="dxa"/>
          </w:tcPr>
          <w:p w:rsidR="006B77B1" w:rsidRPr="00474352" w:rsidRDefault="006B77B1" w:rsidP="006B77B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Разом</w:t>
            </w:r>
          </w:p>
        </w:tc>
      </w:tr>
      <w:tr w:rsidR="006B77B1" w:rsidRPr="00474352" w:rsidTr="00E06A97">
        <w:tc>
          <w:tcPr>
            <w:tcW w:w="3794" w:type="dxa"/>
          </w:tcPr>
          <w:p w:rsidR="006B77B1" w:rsidRPr="00474352" w:rsidRDefault="006B77B1" w:rsidP="0015732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інформація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надана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згідно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договор</w:t>
            </w:r>
            <w:proofErr w:type="spellStart"/>
            <w:r w:rsid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ами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оренди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укладених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 01</w:t>
            </w:r>
            <w:r w:rsid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серпня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  <w:r w:rsidR="003A0F9F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2A3CE5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1701" w:type="dxa"/>
          </w:tcPr>
          <w:p w:rsidR="006B77B1" w:rsidRPr="00474352" w:rsidRDefault="006B77B1" w:rsidP="006B77B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</w:tcPr>
          <w:p w:rsidR="006B77B1" w:rsidRPr="00474352" w:rsidRDefault="006B77B1" w:rsidP="006B77B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</w:tcPr>
          <w:p w:rsidR="006B77B1" w:rsidRPr="00474352" w:rsidRDefault="000055FE" w:rsidP="00244AB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="00244ABA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241" w:type="dxa"/>
          </w:tcPr>
          <w:p w:rsidR="006B77B1" w:rsidRPr="00474352" w:rsidRDefault="000055FE" w:rsidP="00244AB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="00244ABA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6B77B1" w:rsidRPr="00474352" w:rsidTr="00E06A97">
        <w:tc>
          <w:tcPr>
            <w:tcW w:w="3794" w:type="dxa"/>
          </w:tcPr>
          <w:p w:rsidR="006B77B1" w:rsidRPr="00474352" w:rsidRDefault="006B77B1" w:rsidP="006B77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Питома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вага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загальній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кількості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відсоткі</w:t>
            </w:r>
            <w:proofErr w:type="gram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6B77B1" w:rsidRPr="00474352" w:rsidRDefault="006B77B1" w:rsidP="006B77B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76" w:type="dxa"/>
          </w:tcPr>
          <w:p w:rsidR="006B77B1" w:rsidRPr="00474352" w:rsidRDefault="006B77B1" w:rsidP="006B77B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559" w:type="dxa"/>
          </w:tcPr>
          <w:p w:rsidR="006B77B1" w:rsidRPr="00474352" w:rsidRDefault="006B77B1" w:rsidP="006B77B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100</w:t>
            </w:r>
          </w:p>
        </w:tc>
        <w:tc>
          <w:tcPr>
            <w:tcW w:w="1241" w:type="dxa"/>
          </w:tcPr>
          <w:p w:rsidR="006B77B1" w:rsidRPr="00474352" w:rsidRDefault="006B77B1" w:rsidP="006B77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0258DE" w:rsidRPr="00474352" w:rsidRDefault="000258DE" w:rsidP="00DF2B78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 w:eastAsia="uk-UA"/>
        </w:rPr>
      </w:pPr>
    </w:p>
    <w:p w:rsidR="007576FB" w:rsidRPr="00474352" w:rsidRDefault="006B77B1" w:rsidP="00DF2B78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 w:eastAsia="uk-UA"/>
        </w:rPr>
        <w:tab/>
        <w:t xml:space="preserve">Враховуючи вищевикладене, </w:t>
      </w:r>
      <w:r w:rsidR="008E19DC" w:rsidRPr="00474352">
        <w:rPr>
          <w:sz w:val="26"/>
          <w:szCs w:val="26"/>
          <w:lang w:val="uk-UA"/>
        </w:rPr>
        <w:t>Іванівською селищною радою</w:t>
      </w:r>
      <w:r w:rsidR="00E02821" w:rsidRPr="00474352">
        <w:rPr>
          <w:sz w:val="26"/>
          <w:szCs w:val="26"/>
          <w:lang w:val="uk-UA"/>
        </w:rPr>
        <w:t xml:space="preserve"> розроблено про</w:t>
      </w:r>
      <w:r w:rsidR="0063499E" w:rsidRPr="00474352">
        <w:rPr>
          <w:sz w:val="26"/>
          <w:szCs w:val="26"/>
          <w:lang w:val="uk-UA"/>
        </w:rPr>
        <w:t>є</w:t>
      </w:r>
      <w:r w:rsidR="00E02821" w:rsidRPr="00474352">
        <w:rPr>
          <w:sz w:val="26"/>
          <w:szCs w:val="26"/>
          <w:lang w:val="uk-UA"/>
        </w:rPr>
        <w:t xml:space="preserve">кт </w:t>
      </w:r>
      <w:r w:rsidR="0063499E" w:rsidRPr="00474352">
        <w:rPr>
          <w:sz w:val="26"/>
          <w:szCs w:val="26"/>
          <w:lang w:val="uk-UA"/>
        </w:rPr>
        <w:t xml:space="preserve"> рішення сесії </w:t>
      </w:r>
      <w:r w:rsidR="008E19DC" w:rsidRPr="00474352">
        <w:rPr>
          <w:sz w:val="26"/>
          <w:szCs w:val="26"/>
          <w:lang w:val="uk-UA"/>
        </w:rPr>
        <w:t xml:space="preserve">селищної </w:t>
      </w:r>
      <w:r w:rsidR="0063499E" w:rsidRPr="00474352">
        <w:rPr>
          <w:sz w:val="26"/>
          <w:szCs w:val="26"/>
          <w:lang w:val="uk-UA"/>
        </w:rPr>
        <w:t xml:space="preserve">ради </w:t>
      </w:r>
      <w:r w:rsidR="003C2F73" w:rsidRPr="00474352">
        <w:rPr>
          <w:sz w:val="26"/>
          <w:szCs w:val="26"/>
          <w:lang w:val="uk-UA"/>
        </w:rPr>
        <w:t>«</w:t>
      </w:r>
      <w:r w:rsidR="008E19DC" w:rsidRPr="00474352">
        <w:rPr>
          <w:rFonts w:eastAsia="Calibri"/>
          <w:sz w:val="26"/>
          <w:szCs w:val="26"/>
          <w:lang w:val="uk-UA" w:eastAsia="en-US"/>
        </w:rPr>
        <w:t>Про затвердження положення про оренду комунального майна та забезпечення відносин у сфері оренди комунального майна Іванівської селищної територіальної</w:t>
      </w:r>
      <w:r w:rsidR="008E19DC" w:rsidRPr="00474352">
        <w:rPr>
          <w:sz w:val="26"/>
          <w:szCs w:val="26"/>
        </w:rPr>
        <w:t>  </w:t>
      </w:r>
      <w:r w:rsidR="008E19DC" w:rsidRPr="00474352">
        <w:rPr>
          <w:sz w:val="26"/>
          <w:szCs w:val="26"/>
          <w:lang w:val="uk-UA"/>
        </w:rPr>
        <w:t>громади»</w:t>
      </w:r>
      <w:r w:rsidR="003C2F73" w:rsidRPr="00474352">
        <w:rPr>
          <w:sz w:val="26"/>
          <w:szCs w:val="26"/>
          <w:lang w:val="uk-UA"/>
        </w:rPr>
        <w:t>»</w:t>
      </w:r>
      <w:r w:rsidR="00621D30" w:rsidRPr="00474352">
        <w:rPr>
          <w:sz w:val="26"/>
          <w:szCs w:val="26"/>
          <w:lang w:val="uk-UA"/>
        </w:rPr>
        <w:t>, яким визначатимуться:</w:t>
      </w:r>
    </w:p>
    <w:p w:rsidR="00621D30" w:rsidRPr="00474352" w:rsidRDefault="008E19DC" w:rsidP="008E19DC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/>
        </w:rPr>
        <w:tab/>
      </w:r>
      <w:r w:rsidR="00621D30" w:rsidRPr="00474352">
        <w:rPr>
          <w:sz w:val="26"/>
          <w:szCs w:val="26"/>
          <w:lang w:val="uk-UA"/>
        </w:rPr>
        <w:t xml:space="preserve">правові, економічні та організаційні відносини, пов’язані з передачею в оренду </w:t>
      </w:r>
      <w:r w:rsidR="002870AA" w:rsidRPr="00474352">
        <w:rPr>
          <w:sz w:val="26"/>
          <w:szCs w:val="26"/>
          <w:lang w:val="uk-UA"/>
        </w:rPr>
        <w:t xml:space="preserve">нерухомого або іншого окремого індивідуально визначеного майна, що належить до комунальної  власності </w:t>
      </w:r>
      <w:r w:rsidR="009C5F05" w:rsidRPr="00474352">
        <w:rPr>
          <w:sz w:val="26"/>
          <w:szCs w:val="26"/>
          <w:lang w:val="uk-UA"/>
        </w:rPr>
        <w:t>Іванівської селищної</w:t>
      </w:r>
      <w:r w:rsidR="002870AA" w:rsidRPr="00474352">
        <w:rPr>
          <w:sz w:val="26"/>
          <w:szCs w:val="26"/>
          <w:lang w:val="uk-UA"/>
        </w:rPr>
        <w:t xml:space="preserve"> ради;</w:t>
      </w:r>
    </w:p>
    <w:p w:rsidR="002870AA" w:rsidRPr="00474352" w:rsidRDefault="009C5F05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/>
        </w:rPr>
        <w:tab/>
      </w:r>
      <w:r w:rsidR="002870AA" w:rsidRPr="00474352">
        <w:rPr>
          <w:sz w:val="26"/>
          <w:szCs w:val="26"/>
          <w:lang w:val="uk-UA"/>
        </w:rPr>
        <w:t xml:space="preserve">майнові відносини між орендодавцями та орендарями щодо господарського використання майна, що перебуває в комунальної  власності </w:t>
      </w:r>
      <w:r w:rsidRPr="00474352">
        <w:rPr>
          <w:sz w:val="26"/>
          <w:szCs w:val="26"/>
          <w:lang w:val="uk-UA"/>
        </w:rPr>
        <w:t>Іванівської селищної</w:t>
      </w:r>
      <w:r w:rsidR="002870AA" w:rsidRPr="00474352">
        <w:rPr>
          <w:sz w:val="26"/>
          <w:szCs w:val="26"/>
          <w:lang w:val="uk-UA"/>
        </w:rPr>
        <w:t xml:space="preserve"> ради</w:t>
      </w:r>
      <w:r w:rsidR="005C4DD9" w:rsidRPr="00474352">
        <w:rPr>
          <w:sz w:val="26"/>
          <w:szCs w:val="26"/>
          <w:lang w:val="uk-UA"/>
        </w:rPr>
        <w:t>;</w:t>
      </w:r>
    </w:p>
    <w:p w:rsidR="005C4DD9" w:rsidRPr="00474352" w:rsidRDefault="009C5F05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/>
        </w:rPr>
        <w:tab/>
      </w:r>
      <w:r w:rsidR="005C4DD9" w:rsidRPr="00474352">
        <w:rPr>
          <w:sz w:val="26"/>
          <w:szCs w:val="26"/>
          <w:lang w:val="uk-UA"/>
        </w:rPr>
        <w:t xml:space="preserve">чітке розмежування повноважень органів місцевого самоврядування </w:t>
      </w:r>
      <w:r w:rsidRPr="00474352">
        <w:rPr>
          <w:sz w:val="26"/>
          <w:szCs w:val="26"/>
          <w:lang w:val="uk-UA"/>
        </w:rPr>
        <w:t>Іванівської селищної</w:t>
      </w:r>
      <w:r w:rsidR="005C4DD9" w:rsidRPr="00474352">
        <w:rPr>
          <w:sz w:val="26"/>
          <w:szCs w:val="26"/>
          <w:lang w:val="uk-UA"/>
        </w:rPr>
        <w:t xml:space="preserve"> територіальної громади щодо оренди комунального майна;</w:t>
      </w:r>
    </w:p>
    <w:p w:rsidR="005C4DD9" w:rsidRPr="00474352" w:rsidRDefault="009C5F05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/>
        </w:rPr>
        <w:tab/>
      </w:r>
      <w:r w:rsidR="005C4DD9" w:rsidRPr="00474352">
        <w:rPr>
          <w:sz w:val="26"/>
          <w:szCs w:val="26"/>
          <w:lang w:val="uk-UA"/>
        </w:rPr>
        <w:t>ініціатори щодо оренди комунального майна;</w:t>
      </w:r>
    </w:p>
    <w:p w:rsidR="005C4DD9" w:rsidRPr="00474352" w:rsidRDefault="009C5F05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/>
        </w:rPr>
        <w:tab/>
      </w:r>
      <w:r w:rsidR="005C4DD9" w:rsidRPr="00474352">
        <w:rPr>
          <w:sz w:val="26"/>
          <w:szCs w:val="26"/>
          <w:lang w:val="uk-UA"/>
        </w:rPr>
        <w:t>форма розрахунку орендної плати, інших платежів;</w:t>
      </w:r>
    </w:p>
    <w:p w:rsidR="005C4DD9" w:rsidRPr="00474352" w:rsidRDefault="009C5F05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/>
        </w:rPr>
        <w:tab/>
      </w:r>
      <w:r w:rsidR="005C4DD9" w:rsidRPr="00474352">
        <w:rPr>
          <w:sz w:val="26"/>
          <w:szCs w:val="26"/>
          <w:lang w:val="uk-UA"/>
        </w:rPr>
        <w:t>строки оренди;</w:t>
      </w:r>
    </w:p>
    <w:p w:rsidR="00C46438" w:rsidRPr="00474352" w:rsidRDefault="009C5F05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/>
        </w:rPr>
        <w:tab/>
      </w:r>
      <w:r w:rsidR="00C46438" w:rsidRPr="00474352">
        <w:rPr>
          <w:sz w:val="26"/>
          <w:szCs w:val="26"/>
          <w:lang w:val="uk-UA"/>
        </w:rPr>
        <w:t>порядок передачі майна в оренду шляхом проведення електронного аукціону або без проведення електронного аукціону;</w:t>
      </w:r>
    </w:p>
    <w:p w:rsidR="00C46438" w:rsidRPr="00474352" w:rsidRDefault="009C5F05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/>
        </w:rPr>
        <w:tab/>
      </w:r>
      <w:r w:rsidR="00C46438" w:rsidRPr="00474352">
        <w:rPr>
          <w:sz w:val="26"/>
          <w:szCs w:val="26"/>
          <w:lang w:val="uk-UA"/>
        </w:rPr>
        <w:t>чіткий порядок укладання договору оренди, передача майна в суборенду, страхування об’єкта оренди, внесення змін до договору оренди;</w:t>
      </w:r>
    </w:p>
    <w:p w:rsidR="00FF4262" w:rsidRPr="00474352" w:rsidRDefault="009C5F05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/>
        </w:rPr>
        <w:tab/>
      </w:r>
      <w:r w:rsidR="00FF4262" w:rsidRPr="00474352">
        <w:rPr>
          <w:sz w:val="26"/>
          <w:szCs w:val="26"/>
          <w:lang w:val="uk-UA"/>
        </w:rPr>
        <w:t>порядок поліпшення орендованого комунального майна;</w:t>
      </w:r>
    </w:p>
    <w:p w:rsidR="000258DE" w:rsidRPr="00474352" w:rsidRDefault="009C5F05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74352">
        <w:rPr>
          <w:sz w:val="26"/>
          <w:szCs w:val="26"/>
          <w:lang w:val="uk-UA"/>
        </w:rPr>
        <w:tab/>
      </w:r>
      <w:r w:rsidR="00FF4262" w:rsidRPr="00474352">
        <w:rPr>
          <w:sz w:val="26"/>
          <w:szCs w:val="26"/>
          <w:lang w:val="uk-UA"/>
        </w:rPr>
        <w:t>п</w:t>
      </w:r>
      <w:r w:rsidR="00C46438" w:rsidRPr="00474352">
        <w:rPr>
          <w:sz w:val="26"/>
          <w:szCs w:val="26"/>
          <w:lang w:val="uk-UA"/>
        </w:rPr>
        <w:t>орядок виконання контрольних функцій у сфері оренди комунального майна</w:t>
      </w:r>
      <w:r w:rsidR="000258DE" w:rsidRPr="00474352">
        <w:rPr>
          <w:sz w:val="26"/>
          <w:szCs w:val="26"/>
        </w:rPr>
        <w:t>;</w:t>
      </w:r>
    </w:p>
    <w:p w:rsidR="000258DE" w:rsidRPr="00474352" w:rsidRDefault="000258DE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74352">
        <w:rPr>
          <w:sz w:val="26"/>
          <w:szCs w:val="26"/>
          <w:lang w:val="uk-UA"/>
        </w:rPr>
        <w:tab/>
        <w:t>примірні договори оренди</w:t>
      </w:r>
      <w:r w:rsidRPr="00474352">
        <w:rPr>
          <w:sz w:val="26"/>
          <w:szCs w:val="26"/>
        </w:rPr>
        <w:t>;</w:t>
      </w:r>
    </w:p>
    <w:p w:rsidR="000258DE" w:rsidRPr="00474352" w:rsidRDefault="000258DE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</w:rPr>
      </w:pPr>
      <w:r w:rsidRPr="00474352">
        <w:rPr>
          <w:sz w:val="26"/>
          <w:szCs w:val="26"/>
          <w:lang w:val="uk-UA"/>
        </w:rPr>
        <w:tab/>
        <w:t>методика розрахунку орендної плати</w:t>
      </w:r>
      <w:r w:rsidRPr="00474352">
        <w:rPr>
          <w:sz w:val="26"/>
          <w:szCs w:val="26"/>
        </w:rPr>
        <w:t>;</w:t>
      </w:r>
    </w:p>
    <w:p w:rsidR="00C46438" w:rsidRPr="00474352" w:rsidRDefault="000258DE" w:rsidP="009C5F05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/>
        </w:rPr>
        <w:tab/>
        <w:t>порядок розподілу орендної плати</w:t>
      </w:r>
      <w:r w:rsidR="00FF4262" w:rsidRPr="00474352">
        <w:rPr>
          <w:sz w:val="26"/>
          <w:szCs w:val="26"/>
          <w:lang w:val="uk-UA"/>
        </w:rPr>
        <w:t>.</w:t>
      </w:r>
    </w:p>
    <w:p w:rsidR="006B77B1" w:rsidRPr="00474352" w:rsidRDefault="006B77B1" w:rsidP="006B77B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474352">
        <w:rPr>
          <w:sz w:val="26"/>
          <w:szCs w:val="26"/>
          <w:lang w:val="uk-UA"/>
        </w:rPr>
        <w:t xml:space="preserve">Зазначена проблема не може бути розв’язана за допомогою </w:t>
      </w:r>
      <w:r w:rsidRPr="00474352">
        <w:rPr>
          <w:b/>
          <w:bCs/>
          <w:sz w:val="26"/>
          <w:szCs w:val="26"/>
          <w:lang w:val="uk-UA"/>
        </w:rPr>
        <w:t>ринкових механізмів</w:t>
      </w:r>
      <w:r w:rsidR="00157327">
        <w:rPr>
          <w:sz w:val="26"/>
          <w:szCs w:val="26"/>
          <w:lang w:val="uk-UA"/>
        </w:rPr>
        <w:t xml:space="preserve"> тому, що відповідно до статті </w:t>
      </w:r>
      <w:r w:rsidR="00F66AFB" w:rsidRPr="00474352">
        <w:rPr>
          <w:sz w:val="26"/>
          <w:szCs w:val="26"/>
        </w:rPr>
        <w:t>5</w:t>
      </w:r>
      <w:r w:rsidRPr="00474352">
        <w:rPr>
          <w:sz w:val="26"/>
          <w:szCs w:val="26"/>
          <w:lang w:val="uk-UA"/>
        </w:rPr>
        <w:t xml:space="preserve"> Закону України «Про оренду державного та комунального майна» </w:t>
      </w:r>
      <w:r w:rsidR="00F66AFB" w:rsidRPr="00474352">
        <w:rPr>
          <w:sz w:val="26"/>
          <w:szCs w:val="26"/>
          <w:lang w:val="uk-UA"/>
        </w:rPr>
        <w:t xml:space="preserve">особливості передачі в оренду комунального майна визнаються </w:t>
      </w:r>
      <w:r w:rsidRPr="00474352">
        <w:rPr>
          <w:sz w:val="26"/>
          <w:szCs w:val="26"/>
          <w:lang w:val="uk-UA"/>
        </w:rPr>
        <w:t xml:space="preserve">органами місцевого самоврядування для об’єктів, що перебувають у комунальній власності </w:t>
      </w:r>
      <w:r w:rsidR="00A57C6A" w:rsidRPr="00474352">
        <w:rPr>
          <w:sz w:val="26"/>
          <w:szCs w:val="26"/>
          <w:lang w:val="uk-UA"/>
        </w:rPr>
        <w:t>з урахуванням вимог і обмежень, передбачених Законом та Порядком передачі в оренду державного та комунального майна.</w:t>
      </w:r>
    </w:p>
    <w:p w:rsidR="006B77B1" w:rsidRPr="00474352" w:rsidRDefault="006B77B1" w:rsidP="006B77B1">
      <w:pPr>
        <w:pStyle w:val="a7"/>
        <w:shd w:val="clear" w:color="auto" w:fill="FFFFFF"/>
        <w:tabs>
          <w:tab w:val="right" w:pos="9355"/>
        </w:tabs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Проблема не може бути розв’язана за допомогою діючих регуляторних актів, оскільки  на даний час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механізм </w:t>
      </w:r>
      <w:r w:rsidR="00A57C6A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передачі в оренду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майна </w:t>
      </w:r>
      <w:r w:rsidR="009C5F05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Іванівської селищної </w:t>
      </w:r>
      <w:r w:rsidR="003A0F9F" w:rsidRPr="00474352">
        <w:rPr>
          <w:rFonts w:ascii="Times New Roman" w:hAnsi="Times New Roman" w:cs="Times New Roman"/>
          <w:sz w:val="26"/>
          <w:szCs w:val="26"/>
          <w:lang w:val="uk-UA"/>
        </w:rPr>
        <w:t>ради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потребує вдосконалення</w:t>
      </w:r>
      <w:r w:rsidRPr="00474352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6B77B1" w:rsidRPr="00474352" w:rsidRDefault="006B77B1" w:rsidP="00C174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576FB" w:rsidRPr="00474352" w:rsidRDefault="00E02821" w:rsidP="006B77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Основні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групи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proofErr w:type="gramStart"/>
      <w:r w:rsidRPr="00474352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74352">
        <w:rPr>
          <w:rFonts w:ascii="Times New Roman" w:hAnsi="Times New Roman" w:cs="Times New Roman"/>
          <w:b/>
          <w:sz w:val="26"/>
          <w:szCs w:val="26"/>
        </w:rPr>
        <w:t>ідгрупи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), на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які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проблема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справляє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вплив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76FB" w:rsidRPr="00474352" w:rsidTr="007576FB">
        <w:tc>
          <w:tcPr>
            <w:tcW w:w="3190" w:type="dxa"/>
          </w:tcPr>
          <w:p w:rsidR="007576FB" w:rsidRPr="00474352" w:rsidRDefault="007576FB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Групи (підгрупи)</w:t>
            </w:r>
          </w:p>
        </w:tc>
        <w:tc>
          <w:tcPr>
            <w:tcW w:w="3190" w:type="dxa"/>
          </w:tcPr>
          <w:p w:rsidR="007576FB" w:rsidRPr="00474352" w:rsidRDefault="007576FB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Так</w:t>
            </w:r>
          </w:p>
        </w:tc>
        <w:tc>
          <w:tcPr>
            <w:tcW w:w="3191" w:type="dxa"/>
          </w:tcPr>
          <w:p w:rsidR="007576FB" w:rsidRPr="00474352" w:rsidRDefault="007576FB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Ні</w:t>
            </w:r>
          </w:p>
        </w:tc>
      </w:tr>
      <w:tr w:rsidR="007576FB" w:rsidRPr="00474352" w:rsidTr="007576FB">
        <w:tc>
          <w:tcPr>
            <w:tcW w:w="3190" w:type="dxa"/>
          </w:tcPr>
          <w:p w:rsidR="007576FB" w:rsidRPr="00474352" w:rsidRDefault="007576FB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>Громадяни</w:t>
            </w:r>
            <w:proofErr w:type="spellEnd"/>
          </w:p>
        </w:tc>
        <w:tc>
          <w:tcPr>
            <w:tcW w:w="3190" w:type="dxa"/>
          </w:tcPr>
          <w:p w:rsidR="007576FB" w:rsidRPr="00474352" w:rsidRDefault="001611FF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>Так</w:t>
            </w:r>
          </w:p>
        </w:tc>
        <w:tc>
          <w:tcPr>
            <w:tcW w:w="3191" w:type="dxa"/>
          </w:tcPr>
          <w:p w:rsidR="007576FB" w:rsidRPr="00474352" w:rsidRDefault="007576FB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7576FB" w:rsidRPr="00474352" w:rsidTr="007576FB">
        <w:tc>
          <w:tcPr>
            <w:tcW w:w="3190" w:type="dxa"/>
          </w:tcPr>
          <w:p w:rsidR="007576FB" w:rsidRPr="00474352" w:rsidRDefault="007576FB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Органи місцевого </w:t>
            </w: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 xml:space="preserve">самоврядування </w:t>
            </w:r>
          </w:p>
        </w:tc>
        <w:tc>
          <w:tcPr>
            <w:tcW w:w="3190" w:type="dxa"/>
          </w:tcPr>
          <w:p w:rsidR="007576FB" w:rsidRPr="00474352" w:rsidRDefault="007576FB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Так</w:t>
            </w:r>
          </w:p>
        </w:tc>
        <w:tc>
          <w:tcPr>
            <w:tcW w:w="3191" w:type="dxa"/>
          </w:tcPr>
          <w:p w:rsidR="007576FB" w:rsidRPr="00474352" w:rsidRDefault="007576FB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</w:tr>
      <w:tr w:rsidR="007576FB" w:rsidRPr="00474352" w:rsidTr="007576FB">
        <w:tc>
          <w:tcPr>
            <w:tcW w:w="3190" w:type="dxa"/>
          </w:tcPr>
          <w:p w:rsidR="007576FB" w:rsidRPr="00474352" w:rsidRDefault="007576FB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Суб'єкти</w:t>
            </w:r>
            <w:proofErr w:type="spellEnd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>господарювання</w:t>
            </w:r>
            <w:proofErr w:type="spellEnd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 тому </w:t>
            </w:r>
            <w:proofErr w:type="spellStart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>числі</w:t>
            </w:r>
            <w:proofErr w:type="spellEnd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>суб'єкти</w:t>
            </w:r>
            <w:proofErr w:type="spellEnd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малого </w:t>
            </w:r>
            <w:proofErr w:type="spellStart"/>
            <w:proofErr w:type="gramStart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>ідприємництва</w:t>
            </w:r>
            <w:proofErr w:type="spellEnd"/>
          </w:p>
        </w:tc>
        <w:tc>
          <w:tcPr>
            <w:tcW w:w="3190" w:type="dxa"/>
          </w:tcPr>
          <w:p w:rsidR="007576FB" w:rsidRPr="00474352" w:rsidRDefault="007576FB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>Так</w:t>
            </w:r>
          </w:p>
        </w:tc>
        <w:tc>
          <w:tcPr>
            <w:tcW w:w="3191" w:type="dxa"/>
          </w:tcPr>
          <w:p w:rsidR="007576FB" w:rsidRPr="00474352" w:rsidRDefault="007576FB" w:rsidP="006B77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</w:tr>
    </w:tbl>
    <w:p w:rsidR="007576FB" w:rsidRPr="00474352" w:rsidRDefault="007576FB" w:rsidP="007576F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76FB" w:rsidRPr="00474352" w:rsidRDefault="00E02821" w:rsidP="007576F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b/>
          <w:sz w:val="26"/>
          <w:szCs w:val="26"/>
        </w:rPr>
        <w:t>II</w:t>
      </w:r>
      <w:r w:rsidRPr="00474352">
        <w:rPr>
          <w:rFonts w:ascii="Times New Roman" w:hAnsi="Times New Roman" w:cs="Times New Roman"/>
          <w:b/>
          <w:sz w:val="26"/>
          <w:szCs w:val="26"/>
          <w:lang w:val="uk-UA"/>
        </w:rPr>
        <w:t>. Цілі державного регулювання</w:t>
      </w:r>
    </w:p>
    <w:p w:rsidR="00616E66" w:rsidRPr="00157327" w:rsidRDefault="00B91476" w:rsidP="00157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57327">
        <w:rPr>
          <w:rFonts w:ascii="Times New Roman" w:hAnsi="Times New Roman" w:cs="Times New Roman"/>
          <w:sz w:val="26"/>
          <w:szCs w:val="26"/>
          <w:lang w:val="uk-UA"/>
        </w:rPr>
        <w:t>Метою прийняття зазначеного про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157327">
        <w:rPr>
          <w:rFonts w:ascii="Times New Roman" w:hAnsi="Times New Roman" w:cs="Times New Roman"/>
          <w:sz w:val="26"/>
          <w:szCs w:val="26"/>
          <w:lang w:val="uk-UA"/>
        </w:rPr>
        <w:t>кту рішення є підвищення ефективності орендних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57327">
        <w:rPr>
          <w:rFonts w:ascii="Times New Roman" w:hAnsi="Times New Roman" w:cs="Times New Roman"/>
          <w:sz w:val="26"/>
          <w:szCs w:val="26"/>
          <w:lang w:val="uk-UA"/>
        </w:rPr>
        <w:t xml:space="preserve">відносин та забезпечення конкурентоспроможності комунального майна </w:t>
      </w:r>
      <w:r w:rsidR="009C5F05" w:rsidRPr="00474352">
        <w:rPr>
          <w:rFonts w:ascii="Times New Roman" w:hAnsi="Times New Roman" w:cs="Times New Roman"/>
          <w:sz w:val="26"/>
          <w:szCs w:val="26"/>
          <w:lang w:val="uk-UA"/>
        </w:rPr>
        <w:t>Іванівської селищної</w:t>
      </w:r>
      <w:r w:rsidR="006105AE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ради</w:t>
      </w:r>
      <w:r w:rsidRPr="00157327">
        <w:rPr>
          <w:rFonts w:ascii="Times New Roman" w:hAnsi="Times New Roman" w:cs="Times New Roman"/>
          <w:sz w:val="26"/>
          <w:szCs w:val="26"/>
          <w:lang w:val="uk-UA"/>
        </w:rPr>
        <w:t>, зміни в переліку документів, необхідних для укладання договору оренди, доповнення щодо випадків для відмови в пролонгації договору оренди, поінформованість населення щодо комунального майна, яке може бути надано в оренду.</w:t>
      </w:r>
      <w:bookmarkStart w:id="1" w:name="n36"/>
      <w:bookmarkStart w:id="2" w:name="n37"/>
      <w:bookmarkEnd w:id="1"/>
      <w:bookmarkEnd w:id="2"/>
    </w:p>
    <w:p w:rsidR="001A368A" w:rsidRPr="00474352" w:rsidRDefault="00616E66" w:rsidP="00616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          </w:t>
      </w:r>
      <w:r w:rsidR="006B77B1" w:rsidRPr="0047435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Цілями прийняття і запровадження </w:t>
      </w:r>
      <w:r w:rsidR="00157327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цього</w:t>
      </w:r>
      <w:r w:rsidR="006B77B1" w:rsidRPr="0047435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регуляторного акта є:</w:t>
      </w:r>
    </w:p>
    <w:p w:rsidR="001A368A" w:rsidRPr="00474352" w:rsidRDefault="009C5F05" w:rsidP="0015732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 w:eastAsia="uk-UA"/>
        </w:rPr>
        <w:tab/>
      </w:r>
      <w:r w:rsidR="001A368A" w:rsidRPr="00474352">
        <w:rPr>
          <w:rFonts w:ascii="Times New Roman" w:hAnsi="Times New Roman" w:cs="Times New Roman"/>
          <w:sz w:val="26"/>
          <w:szCs w:val="26"/>
          <w:lang w:val="uk-UA" w:eastAsia="uk-UA"/>
        </w:rPr>
        <w:t>забезпечення правового регулювання орендних відносин на місцевому рівні з врахуванням особливостей оренди комунального майна та в межах, дозволених новим Законом України «Про оренду державного та комунального майна»;</w:t>
      </w:r>
    </w:p>
    <w:p w:rsidR="001A368A" w:rsidRPr="00474352" w:rsidRDefault="009C5F05" w:rsidP="0015732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 w:eastAsia="uk-UA"/>
        </w:rPr>
        <w:tab/>
      </w:r>
      <w:r w:rsidR="001A368A" w:rsidRPr="0047435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реалізація норм нового Закону України «Про оренду державного та комунального майна», зокрема, передавати в оренду об’єкти комунальної власності </w:t>
      </w:r>
      <w:r w:rsidRPr="00474352">
        <w:rPr>
          <w:rFonts w:ascii="Times New Roman" w:hAnsi="Times New Roman" w:cs="Times New Roman"/>
          <w:sz w:val="26"/>
          <w:szCs w:val="26"/>
          <w:lang w:val="uk-UA" w:eastAsia="uk-UA"/>
        </w:rPr>
        <w:t>Іванівської селищної</w:t>
      </w:r>
      <w:r w:rsidR="001A368A" w:rsidRPr="00474352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ради на конкурентних засадах способом проведення електронного аукціону з надання майна в оренду (в тому числі електронного аукціону щодо продовження договору оренди) з врахуванням особливостей оренди комунального майна; </w:t>
      </w:r>
    </w:p>
    <w:p w:rsidR="00616E66" w:rsidRPr="00474352" w:rsidRDefault="009C5F05" w:rsidP="0015732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 w:eastAsia="uk-UA"/>
        </w:rPr>
        <w:tab/>
      </w:r>
      <w:r w:rsidR="00616E66" w:rsidRPr="00474352">
        <w:rPr>
          <w:rFonts w:ascii="Times New Roman" w:hAnsi="Times New Roman" w:cs="Times New Roman"/>
          <w:sz w:val="26"/>
          <w:szCs w:val="26"/>
          <w:lang w:val="uk-UA" w:eastAsia="uk-UA"/>
        </w:rPr>
        <w:t>забезпечення високого рівня відкритості, доступності інформації щодо проведення процедур передачі комунального майна в оренду;</w:t>
      </w:r>
    </w:p>
    <w:p w:rsidR="00616E66" w:rsidRPr="00474352" w:rsidRDefault="009C5F05" w:rsidP="0015732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 w:eastAsia="uk-UA"/>
        </w:rPr>
        <w:tab/>
      </w:r>
      <w:r w:rsidR="00616E66" w:rsidRPr="00474352">
        <w:rPr>
          <w:rFonts w:ascii="Times New Roman" w:hAnsi="Times New Roman" w:cs="Times New Roman"/>
          <w:sz w:val="26"/>
          <w:szCs w:val="26"/>
          <w:lang w:val="uk-UA" w:eastAsia="uk-UA"/>
        </w:rPr>
        <w:t>виключення корупційних ризиків при передачі комунального майна в оренду;</w:t>
      </w:r>
    </w:p>
    <w:p w:rsidR="00157327" w:rsidRPr="00474352" w:rsidRDefault="009C5F05" w:rsidP="0015732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 w:eastAsia="uk-UA"/>
        </w:rPr>
        <w:tab/>
      </w:r>
      <w:r w:rsidR="00616E66" w:rsidRPr="00474352">
        <w:rPr>
          <w:rFonts w:ascii="Times New Roman" w:hAnsi="Times New Roman" w:cs="Times New Roman"/>
          <w:sz w:val="26"/>
          <w:szCs w:val="26"/>
          <w:lang w:val="uk-UA" w:eastAsia="uk-UA"/>
        </w:rPr>
        <w:t>забезпечення високого рівня довіри до органів місцевого самоврядування, як до суб’єкта господарсько-правових відносин</w:t>
      </w:r>
      <w:r w:rsidR="00157327" w:rsidRPr="00474352">
        <w:rPr>
          <w:rFonts w:ascii="Times New Roman" w:hAnsi="Times New Roman" w:cs="Times New Roman"/>
          <w:sz w:val="26"/>
          <w:szCs w:val="26"/>
          <w:lang w:val="uk-UA" w:eastAsia="uk-UA"/>
        </w:rPr>
        <w:t>;</w:t>
      </w:r>
    </w:p>
    <w:p w:rsidR="006B77B1" w:rsidRPr="00474352" w:rsidRDefault="00157327" w:rsidP="0015732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6B77B1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здійснення місцевого регулювання відносин, які виникають в процесі передачі в оренду об'єктів нерухомого майна, що належить до комунальної власності територіальної громади; </w:t>
      </w:r>
    </w:p>
    <w:p w:rsidR="006B77B1" w:rsidRPr="00474352" w:rsidRDefault="006B77B1" w:rsidP="0015732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с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твор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ення</w:t>
      </w:r>
      <w:proofErr w:type="spellEnd"/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сприятлив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их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оптимальн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их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умов для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орендарів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майна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6B77B1" w:rsidRPr="00474352" w:rsidRDefault="006B77B1" w:rsidP="000F38D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упорядкування процесу розрахунку плати за оренду комунального майна;</w:t>
      </w:r>
    </w:p>
    <w:p w:rsidR="006B77B1" w:rsidRPr="00474352" w:rsidRDefault="006B77B1" w:rsidP="000F38D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збереження комунального майна та ефективне використання вільних площ;</w:t>
      </w:r>
    </w:p>
    <w:p w:rsidR="006B77B1" w:rsidRPr="00474352" w:rsidRDefault="006B77B1" w:rsidP="000F38DB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збільшення надходжень до міського бюджету;</w:t>
      </w:r>
    </w:p>
    <w:p w:rsidR="006B77B1" w:rsidRPr="00474352" w:rsidRDefault="006B77B1" w:rsidP="000F38D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оптимізація  витрат  коштів   та  часу  орендарів  комунального   майна </w:t>
      </w:r>
      <w:r w:rsidR="00475CE5" w:rsidRPr="00474352">
        <w:rPr>
          <w:rFonts w:ascii="Times New Roman" w:hAnsi="Times New Roman" w:cs="Times New Roman"/>
          <w:sz w:val="26"/>
          <w:szCs w:val="26"/>
          <w:lang w:val="uk-UA"/>
        </w:rPr>
        <w:t>Іванівської селищної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територіальної громади;</w:t>
      </w:r>
    </w:p>
    <w:p w:rsidR="00616E66" w:rsidRPr="00474352" w:rsidRDefault="006B77B1" w:rsidP="000F38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збільшення кількості суб’єктів господарювання, які залучатимуться до співпраці з органами місцевого самоврядування в сфері орендних правовідносин.</w:t>
      </w:r>
    </w:p>
    <w:p w:rsidR="005B5BD6" w:rsidRPr="00474352" w:rsidRDefault="00E02821" w:rsidP="000F3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Цілями державного регулювання є забезпечення виконання приписів Закону України від 03 жовтня 2019 року № 157-ІХ «Про оренду державного та комунального майна», створення єдиних правил для учасників орендних відносин (орендаря та орендодавця) та чітких</w:t>
      </w:r>
      <w:r w:rsidR="005B5BD6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, відкритих та прозорих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механізмів </w:t>
      </w:r>
      <w:r w:rsidR="005B5BD6" w:rsidRPr="00474352">
        <w:rPr>
          <w:rFonts w:ascii="Times New Roman" w:hAnsi="Times New Roman" w:cs="Times New Roman"/>
          <w:sz w:val="26"/>
          <w:szCs w:val="26"/>
          <w:lang w:val="uk-UA"/>
        </w:rPr>
        <w:t>надання в оренду комунального майна міста, а також внесення змін до переліку необхідних документів для укладання договору оренди нерухомого майна і цілісних майнових комплексів</w:t>
      </w:r>
      <w:r w:rsidR="00D1691B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. Державне регулювання </w:t>
      </w:r>
      <w:r w:rsidR="005B5BD6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сприятиме підвищенню контролю за використанням </w:t>
      </w:r>
      <w:r w:rsidR="005B5BD6" w:rsidRPr="00474352">
        <w:rPr>
          <w:rFonts w:ascii="Times New Roman" w:hAnsi="Times New Roman" w:cs="Times New Roman"/>
          <w:sz w:val="26"/>
          <w:szCs w:val="26"/>
          <w:lang w:val="uk-UA"/>
        </w:rPr>
        <w:lastRenderedPageBreak/>
        <w:t>вказаного майна та ефективному розвитку орендних відносин, залучення додаткових коштів до міського бюджету, ефективне розпорядження нерухомим та рухомим майном, що нал</w:t>
      </w:r>
      <w:r w:rsidR="00D1691B" w:rsidRPr="00474352">
        <w:rPr>
          <w:rFonts w:ascii="Times New Roman" w:hAnsi="Times New Roman" w:cs="Times New Roman"/>
          <w:sz w:val="26"/>
          <w:szCs w:val="26"/>
          <w:lang w:val="uk-UA"/>
        </w:rPr>
        <w:t>ежить до комунальної власності, впорядкуванню орендних відносин з окремими категоріями орендарів (громадськими організаціями), зменшенню фінансового навантаження на окремі категорії орендарів, зокрема проведення виборів територіальними виборчими комісіями, діяль</w:t>
      </w:r>
      <w:r w:rsidR="00475CE5" w:rsidRPr="00474352">
        <w:rPr>
          <w:rFonts w:ascii="Times New Roman" w:hAnsi="Times New Roman" w:cs="Times New Roman"/>
          <w:sz w:val="26"/>
          <w:szCs w:val="26"/>
          <w:lang w:val="uk-UA"/>
        </w:rPr>
        <w:t>ність будинків культури, тощо.</w:t>
      </w:r>
    </w:p>
    <w:p w:rsidR="00616E66" w:rsidRPr="00474352" w:rsidRDefault="00616E66" w:rsidP="000F3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Регуляторний акт приймається відповідно </w:t>
      </w:r>
      <w:r w:rsidR="00157327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Закону України «Про засади державної регуляторної політики у сфері господарської діяльності»</w:t>
      </w:r>
      <w:r w:rsidR="00D1691B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7576FB" w:rsidRPr="00474352" w:rsidRDefault="007576FB" w:rsidP="000F3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76FB" w:rsidRPr="00474352" w:rsidRDefault="00E02821" w:rsidP="007576FB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b/>
          <w:sz w:val="26"/>
          <w:szCs w:val="26"/>
        </w:rPr>
        <w:t xml:space="preserve">III.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Визначення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та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оцінка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альтернативних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способів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досягнення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цілей</w:t>
      </w:r>
      <w:proofErr w:type="spellEnd"/>
    </w:p>
    <w:p w:rsidR="007576FB" w:rsidRPr="00474352" w:rsidRDefault="007576FB" w:rsidP="00B0699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352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Альтернативи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визначено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огляду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вимоги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Закону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r w:rsidR="00475CE5" w:rsidRPr="00474352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474352">
        <w:rPr>
          <w:rFonts w:ascii="Times New Roman" w:hAnsi="Times New Roman" w:cs="Times New Roman"/>
          <w:sz w:val="26"/>
          <w:szCs w:val="26"/>
        </w:rPr>
        <w:t xml:space="preserve">03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жовтня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2019 року № 157-ІХ «Про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оренду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державного та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майна»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1E84" w:rsidRPr="00474352" w:rsidTr="007576FB">
        <w:tc>
          <w:tcPr>
            <w:tcW w:w="4785" w:type="dxa"/>
          </w:tcPr>
          <w:p w:rsidR="007576FB" w:rsidRPr="00474352" w:rsidRDefault="007576FB" w:rsidP="007576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</w:t>
            </w:r>
            <w:proofErr w:type="spellStart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>альтернативи</w:t>
            </w:r>
            <w:proofErr w:type="spellEnd"/>
          </w:p>
        </w:tc>
        <w:tc>
          <w:tcPr>
            <w:tcW w:w="4786" w:type="dxa"/>
          </w:tcPr>
          <w:p w:rsidR="007576FB" w:rsidRPr="00474352" w:rsidRDefault="007576FB" w:rsidP="007576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  <w:proofErr w:type="spellEnd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b/>
                <w:sz w:val="26"/>
                <w:szCs w:val="26"/>
              </w:rPr>
              <w:t>альтернативи</w:t>
            </w:r>
            <w:proofErr w:type="spellEnd"/>
          </w:p>
        </w:tc>
      </w:tr>
      <w:tr w:rsidR="007F1E84" w:rsidRPr="00474352" w:rsidTr="007576FB">
        <w:tc>
          <w:tcPr>
            <w:tcW w:w="4785" w:type="dxa"/>
          </w:tcPr>
          <w:p w:rsidR="007576FB" w:rsidRPr="00474352" w:rsidRDefault="007576FB" w:rsidP="00475C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Альтернатива 1</w:t>
            </w:r>
          </w:p>
          <w:p w:rsidR="000F38DB" w:rsidRPr="00474352" w:rsidRDefault="000F38DB" w:rsidP="000F38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7576FB" w:rsidRPr="00474352" w:rsidRDefault="007576FB" w:rsidP="00475CE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Залишити</w:t>
            </w:r>
            <w:r w:rsidR="000F38DB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змін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чинний регуляторний акт</w:t>
            </w:r>
            <w:r w:rsidR="00475CE5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який </w:t>
            </w:r>
            <w:proofErr w:type="spellStart"/>
            <w:r w:rsidR="00475CE5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невідповідає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вимогам Закону України</w:t>
            </w:r>
            <w:r w:rsidR="00475CE5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Альтернатива є не</w:t>
            </w:r>
            <w:r w:rsidR="00475CE5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прийнятною.</w:t>
            </w:r>
          </w:p>
        </w:tc>
      </w:tr>
      <w:tr w:rsidR="007F1E84" w:rsidRPr="00474352" w:rsidTr="007576FB">
        <w:tc>
          <w:tcPr>
            <w:tcW w:w="4785" w:type="dxa"/>
          </w:tcPr>
          <w:p w:rsidR="008620B8" w:rsidRPr="00474352" w:rsidRDefault="008620B8" w:rsidP="00475CE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Альтернатива 2</w:t>
            </w:r>
          </w:p>
        </w:tc>
        <w:tc>
          <w:tcPr>
            <w:tcW w:w="4786" w:type="dxa"/>
          </w:tcPr>
          <w:p w:rsidR="008620B8" w:rsidRPr="00474352" w:rsidRDefault="008620B8" w:rsidP="00475CE5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Скасування чинно</w:t>
            </w:r>
            <w:r w:rsidR="007E22BF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 Положення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та не прийняття натомість жодного регуляторного </w:t>
            </w:r>
            <w:r w:rsidR="00157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акта</w:t>
            </w:r>
            <w:r w:rsidR="00475CE5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Процедура передачі в оренду стане непрозорою та тривалою в часі.</w:t>
            </w:r>
          </w:p>
        </w:tc>
      </w:tr>
      <w:tr w:rsidR="007F1E84" w:rsidRPr="00474352" w:rsidTr="007576FB">
        <w:tc>
          <w:tcPr>
            <w:tcW w:w="4785" w:type="dxa"/>
          </w:tcPr>
          <w:p w:rsidR="007576FB" w:rsidRPr="00474352" w:rsidRDefault="007576FB" w:rsidP="00475CE5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Альтернатива </w:t>
            </w:r>
            <w:r w:rsidR="003F695C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786" w:type="dxa"/>
          </w:tcPr>
          <w:p w:rsidR="003F695C" w:rsidRPr="00474352" w:rsidRDefault="007576FB" w:rsidP="00475C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Прийняття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нового регуляторного акта. </w:t>
            </w:r>
            <w:r w:rsidR="003F695C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Прийняття запропонованого регуляторного акт</w:t>
            </w:r>
            <w:r w:rsid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3F695C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забезпечить:</w:t>
            </w:r>
          </w:p>
          <w:p w:rsidR="003F695C" w:rsidRPr="00474352" w:rsidRDefault="00F35EC3" w:rsidP="00475CE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правове регулювання орендних відносин на місцевому рівні з врахуванням особливостей оренди комунального майна та в межах, дозволених </w:t>
            </w:r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>Закон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ом </w:t>
            </w:r>
            <w:proofErr w:type="spellStart"/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03 </w:t>
            </w:r>
            <w:proofErr w:type="spellStart"/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>жовтня</w:t>
            </w:r>
            <w:proofErr w:type="spellEnd"/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2019 року </w:t>
            </w:r>
            <w:r w:rsidR="00157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№ 157-ІХ «Про </w:t>
            </w:r>
            <w:proofErr w:type="spellStart"/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>оренду</w:t>
            </w:r>
            <w:proofErr w:type="spellEnd"/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державного та </w:t>
            </w:r>
            <w:proofErr w:type="spellStart"/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>комунального</w:t>
            </w:r>
            <w:proofErr w:type="spellEnd"/>
            <w:r w:rsidR="003F695C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майна»</w:t>
            </w:r>
            <w:r w:rsidR="003F695C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3F695C" w:rsidRPr="00474352" w:rsidRDefault="00475CE5" w:rsidP="00475C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1) </w:t>
            </w:r>
            <w:r w:rsidR="003F695C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ефективне використання комунального майна;</w:t>
            </w:r>
          </w:p>
          <w:p w:rsidR="003F695C" w:rsidRPr="00474352" w:rsidRDefault="00475CE5" w:rsidP="00475C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2) </w:t>
            </w:r>
            <w:r w:rsidR="003F695C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надходження коштів до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селищного </w:t>
            </w:r>
            <w:r w:rsidR="003F695C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бюджету;</w:t>
            </w:r>
          </w:p>
          <w:p w:rsidR="00F35EC3" w:rsidRPr="00474352" w:rsidRDefault="00475CE5" w:rsidP="00475C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3) </w:t>
            </w:r>
            <w:r w:rsidR="00F35EC3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передачу в оренду об’єкти комунальної власності на конкурентних засадах способом проведення електронного аукціону з надання майна в оренду (в тому числі електронного аукціону щодо продовження договору оренди);</w:t>
            </w:r>
          </w:p>
          <w:p w:rsidR="003F695C" w:rsidRPr="00474352" w:rsidRDefault="00475CE5" w:rsidP="00475C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4) дотримання прозорості і </w:t>
            </w:r>
            <w:r w:rsidR="003F695C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відкритості процедури надання в оренду комунального майна;</w:t>
            </w:r>
          </w:p>
          <w:p w:rsidR="007576FB" w:rsidRPr="00474352" w:rsidRDefault="00F35EC3" w:rsidP="00475CE5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Положення </w:t>
            </w:r>
            <w:r w:rsidR="003F695C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 матиме складнощів при використанні в роботі з орендарями.</w:t>
            </w:r>
            <w:r w:rsidR="00475CE5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7576FB" w:rsidRPr="00474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Найбільш</w:t>
            </w:r>
            <w:proofErr w:type="spellEnd"/>
            <w:r w:rsidR="007576FB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7576FB" w:rsidRPr="00474352">
              <w:rPr>
                <w:rFonts w:ascii="Times New Roman" w:hAnsi="Times New Roman" w:cs="Times New Roman"/>
                <w:sz w:val="26"/>
                <w:szCs w:val="26"/>
              </w:rPr>
              <w:t>доц</w:t>
            </w:r>
            <w:proofErr w:type="gramEnd"/>
            <w:r w:rsidR="007576FB" w:rsidRPr="00474352">
              <w:rPr>
                <w:rFonts w:ascii="Times New Roman" w:hAnsi="Times New Roman" w:cs="Times New Roman"/>
                <w:sz w:val="26"/>
                <w:szCs w:val="26"/>
              </w:rPr>
              <w:t>ільна</w:t>
            </w:r>
            <w:proofErr w:type="spellEnd"/>
            <w:r w:rsidR="007576FB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альтернатива.</w:t>
            </w:r>
          </w:p>
        </w:tc>
      </w:tr>
    </w:tbl>
    <w:p w:rsidR="007E22BF" w:rsidRPr="00474352" w:rsidRDefault="007E22BF" w:rsidP="007E22B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84FA7" w:rsidRPr="00474352" w:rsidRDefault="00E02821" w:rsidP="00B0699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Оцінка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вибраних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альтернативних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способів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досягнення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цілей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84FA7" w:rsidRPr="00474352" w:rsidRDefault="00E02821" w:rsidP="007576F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Оцінка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впливу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на сферу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інтересів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держави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651"/>
      </w:tblGrid>
      <w:tr w:rsidR="002D0F63" w:rsidRPr="00474352" w:rsidTr="00EB3D70">
        <w:tc>
          <w:tcPr>
            <w:tcW w:w="2376" w:type="dxa"/>
          </w:tcPr>
          <w:p w:rsidR="00484FA7" w:rsidRPr="00474352" w:rsidRDefault="00484FA7" w:rsidP="00484F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альтернативи</w:t>
            </w:r>
            <w:proofErr w:type="spellEnd"/>
          </w:p>
        </w:tc>
        <w:tc>
          <w:tcPr>
            <w:tcW w:w="3544" w:type="dxa"/>
          </w:tcPr>
          <w:p w:rsidR="00484FA7" w:rsidRPr="00474352" w:rsidRDefault="00484FA7" w:rsidP="00484F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Вигоди</w:t>
            </w:r>
            <w:proofErr w:type="spellEnd"/>
          </w:p>
        </w:tc>
        <w:tc>
          <w:tcPr>
            <w:tcW w:w="3651" w:type="dxa"/>
          </w:tcPr>
          <w:p w:rsidR="00484FA7" w:rsidRPr="00474352" w:rsidRDefault="00484FA7" w:rsidP="00484FA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Витрати</w:t>
            </w:r>
            <w:proofErr w:type="spellEnd"/>
          </w:p>
        </w:tc>
      </w:tr>
      <w:tr w:rsidR="002D0F63" w:rsidRPr="00474352" w:rsidTr="00EB3D70">
        <w:tc>
          <w:tcPr>
            <w:tcW w:w="2376" w:type="dxa"/>
          </w:tcPr>
          <w:p w:rsidR="00484FA7" w:rsidRPr="00474352" w:rsidRDefault="00484FA7" w:rsidP="007576F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Альтернатива 1</w:t>
            </w:r>
          </w:p>
        </w:tc>
        <w:tc>
          <w:tcPr>
            <w:tcW w:w="3544" w:type="dxa"/>
          </w:tcPr>
          <w:p w:rsidR="00785C0C" w:rsidRPr="00474352" w:rsidRDefault="00BB4CD2" w:rsidP="00785C0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proofErr w:type="spellStart"/>
            <w:r w:rsidR="00484FA7" w:rsidRPr="00474352">
              <w:rPr>
                <w:rFonts w:ascii="Times New Roman" w:hAnsi="Times New Roman" w:cs="Times New Roman"/>
                <w:sz w:val="26"/>
                <w:szCs w:val="26"/>
              </w:rPr>
              <w:t>ідсутні</w:t>
            </w:r>
            <w:proofErr w:type="spellEnd"/>
            <w:r w:rsidR="00785C0C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4FA7" w:rsidRPr="00474352" w:rsidRDefault="00484FA7" w:rsidP="00785C0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51" w:type="dxa"/>
          </w:tcPr>
          <w:p w:rsidR="001611FF" w:rsidRPr="00474352" w:rsidRDefault="00475CE5" w:rsidP="00944D8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Порушення вимог Закону України «Про оренду державного та комунального майна», крім того у приєднаних в 2020 році сільських рад були затверджені свої положення, які теж не відповідають вимогам законодавства.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Витрати відсутні</w:t>
            </w:r>
          </w:p>
        </w:tc>
      </w:tr>
      <w:tr w:rsidR="002D0F63" w:rsidRPr="00474352" w:rsidTr="00EB3D70">
        <w:tc>
          <w:tcPr>
            <w:tcW w:w="2376" w:type="dxa"/>
          </w:tcPr>
          <w:p w:rsidR="0057442D" w:rsidRPr="00474352" w:rsidRDefault="0057442D" w:rsidP="007576F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Альтернатива 2 </w:t>
            </w:r>
          </w:p>
        </w:tc>
        <w:tc>
          <w:tcPr>
            <w:tcW w:w="3544" w:type="dxa"/>
          </w:tcPr>
          <w:p w:rsidR="0057442D" w:rsidRPr="00474352" w:rsidRDefault="0057442D" w:rsidP="003D7B04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 </w:t>
            </w:r>
          </w:p>
          <w:p w:rsidR="0057442D" w:rsidRPr="00474352" w:rsidRDefault="0057442D" w:rsidP="003D7B04">
            <w:pPr>
              <w:pStyle w:val="a7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651" w:type="dxa"/>
          </w:tcPr>
          <w:p w:rsidR="0057442D" w:rsidRPr="00474352" w:rsidRDefault="00475CE5" w:rsidP="003D7B04">
            <w:pPr>
              <w:pStyle w:val="a7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Відсутність чітко врегульованих питань у сфері орендних відносин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громаді. Витрати відсутні</w:t>
            </w:r>
          </w:p>
        </w:tc>
      </w:tr>
      <w:tr w:rsidR="0057442D" w:rsidRPr="00474352" w:rsidTr="00EB3D70">
        <w:tc>
          <w:tcPr>
            <w:tcW w:w="2376" w:type="dxa"/>
          </w:tcPr>
          <w:p w:rsidR="0057442D" w:rsidRPr="00474352" w:rsidRDefault="0057442D" w:rsidP="005744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Альтернатива 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  <w:p w:rsidR="002D0F63" w:rsidRPr="00474352" w:rsidRDefault="002D0F63" w:rsidP="002D0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D0F63" w:rsidRPr="00474352" w:rsidRDefault="002D0F63" w:rsidP="002D0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D0F63" w:rsidRPr="00474352" w:rsidRDefault="002D0F63" w:rsidP="002D0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2D0F63" w:rsidRPr="00474352" w:rsidRDefault="002D0F63" w:rsidP="002D0F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</w:tcPr>
          <w:p w:rsidR="007C16E9" w:rsidRPr="00474352" w:rsidRDefault="007C16E9" w:rsidP="007C16E9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 Забезпечить правове регулювання орендних відносин на місцевому рівні з врахуванням особливостей оренди комунального майна та в межах дозволених Законом.</w:t>
            </w:r>
          </w:p>
          <w:p w:rsidR="007C16E9" w:rsidRPr="00474352" w:rsidRDefault="007C16E9" w:rsidP="007C16E9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 Дасть змогу реалізувати норми нового ЗУ «Про оренду   державного та комунального майна» з врахуванням особливостей оренди комунального майна та в межах,</w:t>
            </w:r>
            <w:r w:rsidR="00157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дозволених цим Законом. А саме</w:t>
            </w:r>
            <w:r w:rsidR="00157327" w:rsidRPr="0015732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передавати в оренду об’єкти комунальної власності </w:t>
            </w:r>
            <w:r w:rsidR="00475CE5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Іванівської селищної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 на конкурентних засадах способом проведення електронного аукціону з надання майна в оренду (в тому числі електронного аукціону щодо продовження договору оренди).</w:t>
            </w:r>
          </w:p>
          <w:p w:rsidR="004463DA" w:rsidRPr="00474352" w:rsidRDefault="004463DA" w:rsidP="004463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Оптимізація витрат коштів   та часу орендарів  комунального майна </w:t>
            </w:r>
            <w:r w:rsidR="00475CE5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Іванівської селищної 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територіальної громади;</w:t>
            </w:r>
          </w:p>
          <w:p w:rsidR="004463DA" w:rsidRPr="00474352" w:rsidRDefault="004463DA" w:rsidP="007C16E9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(сума надходжень до бюджету за 20</w:t>
            </w:r>
            <w:r w:rsidR="00452106" w:rsidRPr="0047435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</w:t>
            </w:r>
            <w:r w:rsidR="00452106" w:rsidRPr="00474352">
              <w:rPr>
                <w:rFonts w:ascii="Times New Roman" w:hAnsi="Times New Roman" w:cs="Times New Roman"/>
                <w:sz w:val="26"/>
                <w:szCs w:val="26"/>
              </w:rPr>
              <w:t>662.518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52106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тис. </w:t>
            </w:r>
            <w:proofErr w:type="spellStart"/>
            <w:r w:rsidR="00157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 </w:t>
            </w:r>
            <w:r w:rsidR="00452106" w:rsidRPr="004743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місяців 202</w:t>
            </w:r>
            <w:r w:rsidR="00452106" w:rsidRPr="004743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 – </w:t>
            </w:r>
            <w:r w:rsidR="00452106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672.292 </w:t>
            </w:r>
            <w:proofErr w:type="spellStart"/>
            <w:r w:rsidR="00452106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тис.грн</w:t>
            </w:r>
            <w:proofErr w:type="spellEnd"/>
            <w:r w:rsidR="00157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57442D" w:rsidRPr="00474352" w:rsidRDefault="004463DA" w:rsidP="00BB4CD2">
            <w:pPr>
              <w:pStyle w:val="a7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Забезпечить високий рівень відкритості, доступності інформації щодо проведення процедур передачі комунального майна в оренду, виключить корупційні ризики при передачі комунального майна в оренду, забезпечить високий рівень довіри до органів місцевого самоврядування як до суб’єкта господарсько-правових відносин.</w:t>
            </w:r>
          </w:p>
        </w:tc>
        <w:tc>
          <w:tcPr>
            <w:tcW w:w="3651" w:type="dxa"/>
          </w:tcPr>
          <w:p w:rsidR="0057442D" w:rsidRPr="00474352" w:rsidRDefault="0057442D" w:rsidP="006B77B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Витрати пов’язані з виконанням регуляторного </w:t>
            </w:r>
          </w:p>
          <w:p w:rsidR="0057442D" w:rsidRPr="00474352" w:rsidRDefault="0057442D" w:rsidP="006B77B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акт</w:t>
            </w:r>
            <w:r w:rsidR="0015732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відсутні.</w:t>
            </w:r>
          </w:p>
          <w:p w:rsidR="0057442D" w:rsidRPr="00474352" w:rsidRDefault="0057442D" w:rsidP="00EB3D7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DD37B6" w:rsidRPr="00474352" w:rsidRDefault="00DD37B6" w:rsidP="00DD37B6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Оцінка</w:t>
      </w:r>
      <w:proofErr w:type="spellEnd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впливу</w:t>
      </w:r>
      <w:proofErr w:type="spellEnd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сферу </w:t>
      </w: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інтересів</w:t>
      </w:r>
      <w:proofErr w:type="spellEnd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громадян</w:t>
      </w:r>
      <w:proofErr w:type="spellEnd"/>
    </w:p>
    <w:tbl>
      <w:tblPr>
        <w:tblW w:w="9767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3717"/>
        <w:gridCol w:w="3640"/>
      </w:tblGrid>
      <w:tr w:rsidR="00DD37B6" w:rsidRPr="00474352" w:rsidTr="00944D84">
        <w:trPr>
          <w:trHeight w:val="666"/>
        </w:trPr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7B6" w:rsidRPr="00474352" w:rsidRDefault="00DD37B6" w:rsidP="00944D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Вид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альтернативи</w:t>
            </w:r>
            <w:proofErr w:type="spellEnd"/>
          </w:p>
        </w:tc>
        <w:tc>
          <w:tcPr>
            <w:tcW w:w="37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7B6" w:rsidRPr="00474352" w:rsidRDefault="00DD37B6" w:rsidP="00944D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Вигоди</w:t>
            </w:r>
            <w:proofErr w:type="spellEnd"/>
          </w:p>
        </w:tc>
        <w:tc>
          <w:tcPr>
            <w:tcW w:w="36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7B6" w:rsidRPr="00474352" w:rsidRDefault="00DD37B6" w:rsidP="00944D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Витрати</w:t>
            </w:r>
            <w:proofErr w:type="spellEnd"/>
          </w:p>
        </w:tc>
      </w:tr>
      <w:tr w:rsidR="00DD37B6" w:rsidRPr="00474352" w:rsidTr="00944D84">
        <w:trPr>
          <w:trHeight w:val="151"/>
        </w:trPr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7B6" w:rsidRPr="00474352" w:rsidRDefault="00DD37B6" w:rsidP="0094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Альтернатива </w:t>
            </w: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37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7B6" w:rsidRPr="00474352" w:rsidRDefault="00DD37B6" w:rsidP="00944D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забезпечується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досягнення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цілей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7B6" w:rsidRPr="00474352" w:rsidRDefault="00DD37B6" w:rsidP="0094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Неможливість взяття в оренду у зв’язку з економічною недоцільністю.</w:t>
            </w:r>
          </w:p>
        </w:tc>
      </w:tr>
      <w:tr w:rsidR="0057442D" w:rsidRPr="00474352" w:rsidTr="00944D84">
        <w:trPr>
          <w:trHeight w:val="151"/>
        </w:trPr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442D" w:rsidRPr="00474352" w:rsidRDefault="0057442D" w:rsidP="0094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Альтернатива </w:t>
            </w: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37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442D" w:rsidRPr="00474352" w:rsidRDefault="0057442D" w:rsidP="00944D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забезпечується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досягнення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цілей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442D" w:rsidRPr="00474352" w:rsidRDefault="0057442D" w:rsidP="0094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Неможливість взяття в оренду у зв’язку з економічною недоцільністю.</w:t>
            </w:r>
          </w:p>
        </w:tc>
      </w:tr>
      <w:tr w:rsidR="006504BD" w:rsidRPr="00474352" w:rsidTr="00944D84">
        <w:trPr>
          <w:trHeight w:val="151"/>
        </w:trPr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442D" w:rsidRPr="00474352" w:rsidRDefault="0057442D" w:rsidP="00944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Альтернатива </w:t>
            </w: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371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442D" w:rsidRPr="00474352" w:rsidRDefault="0057442D" w:rsidP="0094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Забезпечує досягнення цілей державного регулювання. Задоволення інтересів територіальної громади в частині покращення технічного стану об’єктів нерухомого майна комунальної власності за рахунок коштів орендаря. Можливість створення нових робочих місць у населених пунктах громади. </w:t>
            </w:r>
          </w:p>
        </w:tc>
        <w:tc>
          <w:tcPr>
            <w:tcW w:w="36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7442D" w:rsidRPr="00474352" w:rsidRDefault="0057442D" w:rsidP="0094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</w:t>
            </w:r>
          </w:p>
          <w:p w:rsidR="0057442D" w:rsidRPr="00474352" w:rsidRDefault="0057442D" w:rsidP="0094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Витрати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оренд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spellEnd"/>
            <w:r w:rsidR="00944D84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4D84" w:rsidRPr="00474352">
              <w:rPr>
                <w:rFonts w:ascii="Times New Roman" w:hAnsi="Times New Roman" w:cs="Times New Roman"/>
                <w:sz w:val="26"/>
                <w:szCs w:val="26"/>
              </w:rPr>
              <w:t>комунального</w:t>
            </w:r>
            <w:proofErr w:type="spellEnd"/>
            <w:r w:rsidR="00944D84"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майна </w:t>
            </w:r>
            <w:proofErr w:type="spellStart"/>
            <w:r w:rsidR="00944D84" w:rsidRPr="00474352">
              <w:rPr>
                <w:rFonts w:ascii="Times New Roman" w:hAnsi="Times New Roman" w:cs="Times New Roman"/>
                <w:sz w:val="26"/>
                <w:szCs w:val="26"/>
              </w:rPr>
              <w:t>відповідно</w:t>
            </w:r>
            <w:proofErr w:type="spellEnd"/>
            <w:r w:rsidR="00DE4256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DD37B6" w:rsidRPr="00474352" w:rsidRDefault="00DD37B6" w:rsidP="007576F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3D70" w:rsidRPr="00474352" w:rsidRDefault="00E02821" w:rsidP="00EB3D7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Оцінка впливу на сферу інтересів суб’єктів господарювання </w:t>
      </w:r>
    </w:p>
    <w:p w:rsidR="00EB3D70" w:rsidRPr="00474352" w:rsidRDefault="00E02821" w:rsidP="00B92B9F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Припустимо, що кількість суб’єктів господарювання (орендарі </w:t>
      </w:r>
      <w:r w:rsidR="00B92B9F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майна), що мають виконати вимоги регулювання, становитиме</w:t>
      </w:r>
      <w:r w:rsidR="000055FE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49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*.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7"/>
        <w:gridCol w:w="1461"/>
        <w:gridCol w:w="1461"/>
        <w:gridCol w:w="1366"/>
        <w:gridCol w:w="1364"/>
        <w:gridCol w:w="1559"/>
      </w:tblGrid>
      <w:tr w:rsidR="00DD37B6" w:rsidRPr="00474352" w:rsidTr="00E06A97">
        <w:tc>
          <w:tcPr>
            <w:tcW w:w="1263" w:type="pct"/>
            <w:vAlign w:val="center"/>
          </w:tcPr>
          <w:p w:rsidR="00DD37B6" w:rsidRPr="00474352" w:rsidRDefault="00DD37B6" w:rsidP="00E06A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Показник</w:t>
            </w:r>
          </w:p>
        </w:tc>
        <w:tc>
          <w:tcPr>
            <w:tcW w:w="757" w:type="pct"/>
            <w:vAlign w:val="center"/>
          </w:tcPr>
          <w:p w:rsidR="00DD37B6" w:rsidRPr="00474352" w:rsidRDefault="00DD37B6" w:rsidP="00E06A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Великі</w:t>
            </w:r>
          </w:p>
        </w:tc>
        <w:tc>
          <w:tcPr>
            <w:tcW w:w="757" w:type="pct"/>
            <w:vAlign w:val="center"/>
          </w:tcPr>
          <w:p w:rsidR="00DD37B6" w:rsidRPr="00474352" w:rsidRDefault="00DD37B6" w:rsidP="00E06A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Середні</w:t>
            </w:r>
          </w:p>
        </w:tc>
        <w:tc>
          <w:tcPr>
            <w:tcW w:w="708" w:type="pct"/>
            <w:vAlign w:val="center"/>
          </w:tcPr>
          <w:p w:rsidR="00DD37B6" w:rsidRPr="00474352" w:rsidRDefault="00DD37B6" w:rsidP="00E06A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Малі</w:t>
            </w:r>
          </w:p>
        </w:tc>
        <w:tc>
          <w:tcPr>
            <w:tcW w:w="707" w:type="pct"/>
            <w:vAlign w:val="center"/>
          </w:tcPr>
          <w:p w:rsidR="00DD37B6" w:rsidRPr="00474352" w:rsidRDefault="00DD37B6" w:rsidP="00E06A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proofErr w:type="spellStart"/>
            <w:r w:rsidRPr="00474352">
              <w:rPr>
                <w:sz w:val="26"/>
                <w:szCs w:val="26"/>
              </w:rPr>
              <w:t>Мікро</w:t>
            </w:r>
            <w:proofErr w:type="spellEnd"/>
          </w:p>
        </w:tc>
        <w:tc>
          <w:tcPr>
            <w:tcW w:w="808" w:type="pct"/>
            <w:vAlign w:val="center"/>
          </w:tcPr>
          <w:p w:rsidR="00DD37B6" w:rsidRPr="00474352" w:rsidRDefault="00DD37B6" w:rsidP="00E06A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Разом</w:t>
            </w:r>
          </w:p>
        </w:tc>
      </w:tr>
      <w:tr w:rsidR="00DD37B6" w:rsidRPr="00474352" w:rsidTr="00E06A97">
        <w:tc>
          <w:tcPr>
            <w:tcW w:w="1263" w:type="pct"/>
            <w:vAlign w:val="center"/>
          </w:tcPr>
          <w:p w:rsidR="00DD37B6" w:rsidRPr="00474352" w:rsidRDefault="00DD37B6" w:rsidP="00E06A97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Кількість суб’єктів господарювання, що підпадають під дію регулювання, одиниць*</w:t>
            </w:r>
          </w:p>
        </w:tc>
        <w:tc>
          <w:tcPr>
            <w:tcW w:w="757" w:type="pct"/>
            <w:vAlign w:val="center"/>
          </w:tcPr>
          <w:p w:rsidR="00DD37B6" w:rsidRPr="00474352" w:rsidRDefault="00DD37B6" w:rsidP="00E06A97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-</w:t>
            </w:r>
          </w:p>
        </w:tc>
        <w:tc>
          <w:tcPr>
            <w:tcW w:w="757" w:type="pct"/>
            <w:vAlign w:val="center"/>
          </w:tcPr>
          <w:p w:rsidR="00DD37B6" w:rsidRPr="00474352" w:rsidRDefault="00DD37B6" w:rsidP="00E06A97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-</w:t>
            </w:r>
          </w:p>
        </w:tc>
        <w:tc>
          <w:tcPr>
            <w:tcW w:w="708" w:type="pct"/>
            <w:vAlign w:val="center"/>
          </w:tcPr>
          <w:p w:rsidR="00DD37B6" w:rsidRPr="00474352" w:rsidRDefault="000055FE" w:rsidP="00E06A97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-</w:t>
            </w:r>
          </w:p>
        </w:tc>
        <w:tc>
          <w:tcPr>
            <w:tcW w:w="707" w:type="pct"/>
            <w:vAlign w:val="center"/>
          </w:tcPr>
          <w:p w:rsidR="00DD37B6" w:rsidRPr="00474352" w:rsidRDefault="00244ABA" w:rsidP="00E06A97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46</w:t>
            </w:r>
          </w:p>
        </w:tc>
        <w:tc>
          <w:tcPr>
            <w:tcW w:w="808" w:type="pct"/>
            <w:vAlign w:val="center"/>
          </w:tcPr>
          <w:p w:rsidR="00DD37B6" w:rsidRPr="00474352" w:rsidRDefault="000055FE" w:rsidP="00244ABA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4</w:t>
            </w:r>
            <w:r w:rsidR="00244ABA" w:rsidRPr="00474352">
              <w:rPr>
                <w:sz w:val="26"/>
                <w:szCs w:val="26"/>
              </w:rPr>
              <w:t>6</w:t>
            </w:r>
          </w:p>
        </w:tc>
      </w:tr>
      <w:tr w:rsidR="00DD37B6" w:rsidRPr="00474352" w:rsidTr="00E06A97">
        <w:tc>
          <w:tcPr>
            <w:tcW w:w="1263" w:type="pct"/>
            <w:vAlign w:val="center"/>
          </w:tcPr>
          <w:p w:rsidR="00DD37B6" w:rsidRPr="00474352" w:rsidRDefault="00DD37B6" w:rsidP="00E06A97">
            <w:pPr>
              <w:pStyle w:val="rvps1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Питома вага групи у загальній кількості, відсотків</w:t>
            </w:r>
          </w:p>
        </w:tc>
        <w:tc>
          <w:tcPr>
            <w:tcW w:w="757" w:type="pct"/>
            <w:vAlign w:val="center"/>
          </w:tcPr>
          <w:p w:rsidR="00DD37B6" w:rsidRPr="00474352" w:rsidRDefault="00DD37B6" w:rsidP="00E06A97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-</w:t>
            </w:r>
          </w:p>
        </w:tc>
        <w:tc>
          <w:tcPr>
            <w:tcW w:w="757" w:type="pct"/>
            <w:vAlign w:val="center"/>
          </w:tcPr>
          <w:p w:rsidR="00DD37B6" w:rsidRPr="00474352" w:rsidRDefault="00DD37B6" w:rsidP="00E06A97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-</w:t>
            </w:r>
          </w:p>
        </w:tc>
        <w:tc>
          <w:tcPr>
            <w:tcW w:w="708" w:type="pct"/>
            <w:vAlign w:val="center"/>
          </w:tcPr>
          <w:p w:rsidR="00DD37B6" w:rsidRPr="00474352" w:rsidRDefault="000055FE" w:rsidP="00E06A97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-</w:t>
            </w:r>
          </w:p>
        </w:tc>
        <w:tc>
          <w:tcPr>
            <w:tcW w:w="707" w:type="pct"/>
            <w:vAlign w:val="center"/>
          </w:tcPr>
          <w:p w:rsidR="00DD37B6" w:rsidRPr="00474352" w:rsidRDefault="000055FE" w:rsidP="00E06A97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100</w:t>
            </w:r>
          </w:p>
        </w:tc>
        <w:tc>
          <w:tcPr>
            <w:tcW w:w="808" w:type="pct"/>
            <w:vAlign w:val="center"/>
          </w:tcPr>
          <w:p w:rsidR="00DD37B6" w:rsidRPr="00474352" w:rsidRDefault="00DD37B6" w:rsidP="00E06A9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474352">
              <w:rPr>
                <w:sz w:val="26"/>
                <w:szCs w:val="26"/>
              </w:rPr>
              <w:t>100</w:t>
            </w:r>
          </w:p>
        </w:tc>
      </w:tr>
    </w:tbl>
    <w:p w:rsidR="00EB3D70" w:rsidRPr="00474352" w:rsidRDefault="00DD37B6" w:rsidP="00CE6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*За даними </w:t>
      </w:r>
      <w:r w:rsidR="00944D84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відділу бухгалтерського обліку та звітності селищної ради</w:t>
      </w:r>
      <w:r w:rsidR="00B92B9F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0D004D" w:rsidRPr="00474352" w:rsidRDefault="00E02821" w:rsidP="00EB3D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* На прикладі орендних відносин щодо державного майна за даними стосовно кількості укладених органами приватизації договорів оренди державного майна (</w:t>
      </w:r>
      <w:r w:rsidR="000055FE" w:rsidRPr="00474352">
        <w:rPr>
          <w:rFonts w:ascii="Times New Roman" w:hAnsi="Times New Roman" w:cs="Times New Roman"/>
          <w:sz w:val="26"/>
          <w:szCs w:val="26"/>
          <w:lang w:val="uk-UA"/>
        </w:rPr>
        <w:t>49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станом на 01.</w:t>
      </w:r>
      <w:r w:rsidR="000055FE" w:rsidRPr="00474352">
        <w:rPr>
          <w:rFonts w:ascii="Times New Roman" w:hAnsi="Times New Roman" w:cs="Times New Roman"/>
          <w:sz w:val="26"/>
          <w:szCs w:val="26"/>
          <w:lang w:val="uk-UA"/>
        </w:rPr>
        <w:t>07.2021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). </w:t>
      </w:r>
    </w:p>
    <w:p w:rsidR="00C22FB2" w:rsidRPr="00474352" w:rsidRDefault="00C22FB2" w:rsidP="00EB3D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2FB2" w:rsidRPr="00474352" w:rsidTr="00C22FB2">
        <w:tc>
          <w:tcPr>
            <w:tcW w:w="3190" w:type="dxa"/>
          </w:tcPr>
          <w:p w:rsidR="00C22FB2" w:rsidRPr="00474352" w:rsidRDefault="00C22FB2" w:rsidP="00C22F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Вид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альтернативи</w:t>
            </w:r>
            <w:proofErr w:type="spellEnd"/>
          </w:p>
        </w:tc>
        <w:tc>
          <w:tcPr>
            <w:tcW w:w="3190" w:type="dxa"/>
          </w:tcPr>
          <w:p w:rsidR="00C22FB2" w:rsidRPr="00474352" w:rsidRDefault="00C22FB2" w:rsidP="00C22F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Вигоди</w:t>
            </w:r>
            <w:proofErr w:type="spellEnd"/>
          </w:p>
        </w:tc>
        <w:tc>
          <w:tcPr>
            <w:tcW w:w="3191" w:type="dxa"/>
          </w:tcPr>
          <w:p w:rsidR="00C22FB2" w:rsidRPr="00474352" w:rsidRDefault="00C22FB2" w:rsidP="00C22FB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Витрати</w:t>
            </w:r>
            <w:proofErr w:type="spellEnd"/>
          </w:p>
        </w:tc>
      </w:tr>
      <w:tr w:rsidR="00C22FB2" w:rsidRPr="00474352" w:rsidTr="00C22FB2">
        <w:tc>
          <w:tcPr>
            <w:tcW w:w="3190" w:type="dxa"/>
          </w:tcPr>
          <w:p w:rsidR="00C22FB2" w:rsidRPr="00474352" w:rsidRDefault="00C22FB2" w:rsidP="00EB3D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Альтернатива 1</w:t>
            </w:r>
          </w:p>
        </w:tc>
        <w:tc>
          <w:tcPr>
            <w:tcW w:w="3190" w:type="dxa"/>
          </w:tcPr>
          <w:p w:rsidR="00C22FB2" w:rsidRPr="00474352" w:rsidRDefault="00034326" w:rsidP="00EB3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</w:t>
            </w:r>
            <w:proofErr w:type="spellStart"/>
            <w:r w:rsidR="00C22FB2" w:rsidRPr="00474352">
              <w:rPr>
                <w:rFonts w:ascii="Times New Roman" w:hAnsi="Times New Roman" w:cs="Times New Roman"/>
                <w:sz w:val="26"/>
                <w:szCs w:val="26"/>
              </w:rPr>
              <w:t>ідсутні</w:t>
            </w:r>
            <w:proofErr w:type="spellEnd"/>
          </w:p>
          <w:p w:rsidR="00034326" w:rsidRPr="00474352" w:rsidRDefault="00034326" w:rsidP="000343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ab/>
            </w:r>
          </w:p>
          <w:p w:rsidR="00034326" w:rsidRPr="00474352" w:rsidRDefault="00034326" w:rsidP="000343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34326" w:rsidRPr="00474352" w:rsidRDefault="00034326" w:rsidP="000343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034326" w:rsidRPr="00474352" w:rsidRDefault="00034326" w:rsidP="000343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034326" w:rsidRPr="00474352" w:rsidRDefault="00034326" w:rsidP="00477BF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91" w:type="dxa"/>
          </w:tcPr>
          <w:p w:rsidR="00034326" w:rsidRPr="00474352" w:rsidRDefault="001611FF" w:rsidP="00EB3D7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Неврегульованість багатьох питань даної сфери, що призведе до створення колізій під час застосування законодавства у сфері орендних відносин</w:t>
            </w:r>
            <w:r w:rsidR="00034326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C22FB2" w:rsidRPr="00474352" w:rsidRDefault="00477BF8" w:rsidP="00477BF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  <w:r w:rsidR="00157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034326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 дозволить досягти цілей державного регулювання, оскільки, чинне Положен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034326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я 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Іванівської селищної</w:t>
            </w:r>
            <w:r w:rsidR="00034326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 громад</w:t>
            </w:r>
            <w:r w:rsidR="00157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які приєдналися у 2020 році,</w:t>
            </w:r>
            <w:r w:rsidR="00034326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 питань оренди не відповідає зміненому законодавству з питань оренди комунального майна, не передбачає механізму передачі майна в оренду способом проведення електронного аукціону з надання майна в оренду через електронну торгову систему.</w:t>
            </w:r>
          </w:p>
          <w:p w:rsidR="00477BF8" w:rsidRPr="00474352" w:rsidRDefault="00477BF8" w:rsidP="00477BF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Відсутність правового регулювання орендних відносин на місцевому рівні та не врахування особливостей оренди 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комунального майна в межах дозволених новим Законом України «Про оренду державного та комунального майна».</w:t>
            </w:r>
          </w:p>
          <w:p w:rsidR="00477BF8" w:rsidRPr="00474352" w:rsidRDefault="00477BF8" w:rsidP="004112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3. Не будуть враховані інтереси 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Іванівської селищної ради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щодо максимізації доходів</w:t>
            </w:r>
            <w:r w:rsidR="0041122D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оренди комунального майна.</w:t>
            </w:r>
          </w:p>
        </w:tc>
      </w:tr>
      <w:tr w:rsidR="00D83962" w:rsidRPr="00474352" w:rsidTr="00C22FB2">
        <w:tc>
          <w:tcPr>
            <w:tcW w:w="3190" w:type="dxa"/>
          </w:tcPr>
          <w:p w:rsidR="00D83962" w:rsidRPr="00474352" w:rsidRDefault="00D83962" w:rsidP="00EB3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Альтернатива 2</w:t>
            </w:r>
          </w:p>
        </w:tc>
        <w:tc>
          <w:tcPr>
            <w:tcW w:w="3190" w:type="dxa"/>
          </w:tcPr>
          <w:p w:rsidR="00D83962" w:rsidRPr="00474352" w:rsidRDefault="00D83962" w:rsidP="003D7B04">
            <w:pPr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</w:t>
            </w:r>
          </w:p>
        </w:tc>
        <w:tc>
          <w:tcPr>
            <w:tcW w:w="3191" w:type="dxa"/>
          </w:tcPr>
          <w:p w:rsidR="00D83962" w:rsidRPr="00474352" w:rsidRDefault="00D83962" w:rsidP="0041122D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Цілі не можуть бути досягнуті.</w:t>
            </w:r>
          </w:p>
        </w:tc>
      </w:tr>
      <w:tr w:rsidR="00D83962" w:rsidRPr="00474352" w:rsidTr="00C22FB2">
        <w:tc>
          <w:tcPr>
            <w:tcW w:w="3190" w:type="dxa"/>
          </w:tcPr>
          <w:p w:rsidR="00D83962" w:rsidRPr="00474352" w:rsidRDefault="00D83962" w:rsidP="0057442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Альтернатива 3</w:t>
            </w:r>
          </w:p>
        </w:tc>
        <w:tc>
          <w:tcPr>
            <w:tcW w:w="3190" w:type="dxa"/>
          </w:tcPr>
          <w:p w:rsidR="00477BF8" w:rsidRPr="00474352" w:rsidRDefault="00477BF8" w:rsidP="00477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1.Забезпечить правове регулювання орендних відносин на місцевому рівні з врахуванням особливостей оренди комунального майна та в межах, дозволених Законом.</w:t>
            </w:r>
          </w:p>
          <w:p w:rsidR="00477BF8" w:rsidRPr="00474352" w:rsidRDefault="00906B34" w:rsidP="00477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2.Прийняття </w:t>
            </w:r>
            <w:r w:rsidR="00477BF8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запропонованого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77BF8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нормативного акта дасть змогу реалізувати норми нового З</w:t>
            </w:r>
            <w:r w:rsidR="00157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акону </w:t>
            </w:r>
            <w:r w:rsidR="00477BF8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</w:t>
            </w:r>
            <w:r w:rsidR="0015732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країни</w:t>
            </w:r>
            <w:r w:rsidR="00477BF8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«Про оренду   державного та ко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мунального майна» з врахуванням </w:t>
            </w:r>
            <w:r w:rsidR="00477BF8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особливостей оренди комунального майна та в межах, дозволених цим Законом. А саме, передавати в оренду об’єкти комунальної власності 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Іванівської селищної</w:t>
            </w:r>
            <w:r w:rsidR="00477BF8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 (крім землі) на конкурентних 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засадах способом проведення </w:t>
            </w:r>
            <w:r w:rsidR="00944D8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</w:t>
            </w:r>
            <w:r w:rsidR="00477BF8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лектронного аукціону з надання майна в оренду (в тому числі електронного аукціону щодо продовження договору оренди).</w:t>
            </w:r>
          </w:p>
          <w:p w:rsidR="00906B34" w:rsidRPr="00474352" w:rsidRDefault="00944D84" w:rsidP="00477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906B3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Забезпечить високий рівень відкритості, доступності інформації </w:t>
            </w:r>
            <w:r w:rsidR="00906B3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щодо проведення процедур передачі комунального майна в оренду, виключить корупційні ризики при передачі комунального майна в оренду, забезпечить високий рівень довіри до органів місцевого самоврядування як до суб’єкта господарсько-правових відносин.</w:t>
            </w:r>
          </w:p>
          <w:p w:rsidR="00D83962" w:rsidRPr="00474352" w:rsidRDefault="00944D84" w:rsidP="00944D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="00906B34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О</w:t>
            </w:r>
            <w:r w:rsidR="00D83962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птимізація витрат коштів та часу орендарів комунального майна 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Іванівської селищної </w:t>
            </w:r>
            <w:r w:rsidR="00D83962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територіальної громади. Можливість використовувати та отримувати на умовах оренди комунальне майно для своєї господарської діяльності та отримання прибутку</w:t>
            </w:r>
          </w:p>
        </w:tc>
        <w:tc>
          <w:tcPr>
            <w:tcW w:w="3191" w:type="dxa"/>
          </w:tcPr>
          <w:p w:rsidR="00D83962" w:rsidRPr="00474352" w:rsidRDefault="00477BF8" w:rsidP="00944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D83962" w:rsidRPr="00474352">
              <w:rPr>
                <w:rFonts w:ascii="Times New Roman" w:hAnsi="Times New Roman" w:cs="Times New Roman"/>
                <w:sz w:val="26"/>
                <w:szCs w:val="26"/>
              </w:rPr>
              <w:t>ідсутні</w:t>
            </w:r>
            <w:proofErr w:type="spellEnd"/>
          </w:p>
          <w:p w:rsidR="00477BF8" w:rsidRPr="00474352" w:rsidRDefault="00477BF8" w:rsidP="00C22F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BF8" w:rsidRPr="00474352" w:rsidRDefault="00477BF8" w:rsidP="00477B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77BF8" w:rsidRPr="00474352" w:rsidRDefault="00477BF8" w:rsidP="00477B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77BF8" w:rsidRPr="00474352" w:rsidRDefault="00477BF8" w:rsidP="00477B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477BF8" w:rsidRPr="00474352" w:rsidRDefault="00477BF8" w:rsidP="00477BF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22FB2" w:rsidRPr="00474352" w:rsidRDefault="00C22FB2" w:rsidP="00EB3D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22FB2" w:rsidRPr="00474352" w:rsidRDefault="00E02821" w:rsidP="00EB3D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Регуляторний акт захищає інтереси як </w:t>
      </w:r>
      <w:r w:rsidR="00C22FB2" w:rsidRPr="00474352">
        <w:rPr>
          <w:rFonts w:ascii="Times New Roman" w:hAnsi="Times New Roman" w:cs="Times New Roman"/>
          <w:sz w:val="26"/>
          <w:szCs w:val="26"/>
          <w:lang w:val="uk-UA"/>
        </w:rPr>
        <w:t>органів місцевого самоврядування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, так і суспільства, оскільки забезпе</w:t>
      </w:r>
      <w:r w:rsidR="00C22FB2" w:rsidRPr="00474352">
        <w:rPr>
          <w:rFonts w:ascii="Times New Roman" w:hAnsi="Times New Roman" w:cs="Times New Roman"/>
          <w:sz w:val="26"/>
          <w:szCs w:val="26"/>
          <w:lang w:val="uk-UA"/>
        </w:rPr>
        <w:t>чується ефективне використання комунального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майна, прямим результатом чого є поповнення бюджету</w:t>
      </w:r>
      <w:r w:rsidR="00906B34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громади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7B4C9B" w:rsidRPr="00474352" w:rsidRDefault="007B4C9B" w:rsidP="00E51506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2A4C" w:rsidRPr="00474352" w:rsidRDefault="00E02821" w:rsidP="00A81DC7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b/>
          <w:sz w:val="26"/>
          <w:szCs w:val="26"/>
        </w:rPr>
        <w:t xml:space="preserve">IV.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Вибі</w:t>
      </w:r>
      <w:proofErr w:type="gramStart"/>
      <w:r w:rsidRPr="00474352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найбільш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оптимального альтернативного способу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досягнення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цілей</w:t>
      </w:r>
      <w:proofErr w:type="spellEnd"/>
    </w:p>
    <w:p w:rsidR="00BD56AC" w:rsidRPr="00474352" w:rsidRDefault="00BD56AC" w:rsidP="00BD56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Вибі</w:t>
      </w:r>
      <w:proofErr w:type="gramStart"/>
      <w:r w:rsidRPr="00474352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474352">
        <w:rPr>
          <w:rFonts w:ascii="Times New Roman" w:hAnsi="Times New Roman" w:cs="Times New Roman"/>
          <w:sz w:val="26"/>
          <w:szCs w:val="26"/>
        </w:rPr>
        <w:t xml:space="preserve"> оптимального альтернативного способу з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урахуванням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бальної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ступеня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досягнення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визначених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цілей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>.</w:t>
      </w:r>
    </w:p>
    <w:p w:rsidR="00BD56AC" w:rsidRPr="00474352" w:rsidRDefault="00BD56AC" w:rsidP="00BD5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Вартість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балів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визначається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чотирибальною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системою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ступеня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досягнення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визначених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цілей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>, де:</w:t>
      </w:r>
    </w:p>
    <w:p w:rsidR="00BD56AC" w:rsidRPr="00474352" w:rsidRDefault="00BD56AC" w:rsidP="00BD5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4352">
        <w:rPr>
          <w:rFonts w:ascii="Times New Roman" w:hAnsi="Times New Roman" w:cs="Times New Roman"/>
          <w:sz w:val="26"/>
          <w:szCs w:val="26"/>
        </w:rPr>
        <w:t xml:space="preserve"> 4 -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цілі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регуляторного акта,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4352">
        <w:rPr>
          <w:rFonts w:ascii="Times New Roman" w:hAnsi="Times New Roman" w:cs="Times New Roman"/>
          <w:sz w:val="26"/>
          <w:szCs w:val="26"/>
        </w:rPr>
        <w:t>бути</w:t>
      </w:r>
      <w:proofErr w:type="gram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досягнуті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повною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мірою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(проблема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більше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існувати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не буде);</w:t>
      </w:r>
    </w:p>
    <w:p w:rsidR="00BD56AC" w:rsidRPr="00474352" w:rsidRDefault="00BD56AC" w:rsidP="00BD5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4352">
        <w:rPr>
          <w:rFonts w:ascii="Times New Roman" w:hAnsi="Times New Roman" w:cs="Times New Roman"/>
          <w:sz w:val="26"/>
          <w:szCs w:val="26"/>
        </w:rPr>
        <w:t xml:space="preserve"> 3 -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цілі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регуляторного акта,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4352">
        <w:rPr>
          <w:rFonts w:ascii="Times New Roman" w:hAnsi="Times New Roman" w:cs="Times New Roman"/>
          <w:sz w:val="26"/>
          <w:szCs w:val="26"/>
        </w:rPr>
        <w:t>бути</w:t>
      </w:r>
      <w:proofErr w:type="gram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досягнуті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майже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повною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мірою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усі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важливі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аспекти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проблеми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існувати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будуть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>);</w:t>
      </w:r>
    </w:p>
    <w:p w:rsidR="00BD56AC" w:rsidRPr="00474352" w:rsidRDefault="00BD56AC" w:rsidP="00BD5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4352">
        <w:rPr>
          <w:rFonts w:ascii="Times New Roman" w:hAnsi="Times New Roman" w:cs="Times New Roman"/>
          <w:sz w:val="26"/>
          <w:szCs w:val="26"/>
        </w:rPr>
        <w:t xml:space="preserve"> 2 -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цілі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регуляторного акта,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4352">
        <w:rPr>
          <w:rFonts w:ascii="Times New Roman" w:hAnsi="Times New Roman" w:cs="Times New Roman"/>
          <w:sz w:val="26"/>
          <w:szCs w:val="26"/>
        </w:rPr>
        <w:t>бути</w:t>
      </w:r>
      <w:proofErr w:type="gram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досягнуті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частково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(проблема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значно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зменшиться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деякі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важливі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критичні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аспекти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проблеми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залишаться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невирішеними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>);</w:t>
      </w:r>
    </w:p>
    <w:p w:rsidR="00BD56AC" w:rsidRPr="00474352" w:rsidRDefault="00BD56AC" w:rsidP="00BD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</w:rPr>
        <w:t xml:space="preserve">1 -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цілі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регуляторного акта,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4352">
        <w:rPr>
          <w:rFonts w:ascii="Times New Roman" w:hAnsi="Times New Roman" w:cs="Times New Roman"/>
          <w:sz w:val="26"/>
          <w:szCs w:val="26"/>
        </w:rPr>
        <w:t>бути</w:t>
      </w:r>
      <w:proofErr w:type="gram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досягнуті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(проблема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продовжує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існувати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>).</w:t>
      </w:r>
    </w:p>
    <w:p w:rsidR="00BD56AC" w:rsidRPr="00474352" w:rsidRDefault="00BD56AC" w:rsidP="00592A4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810"/>
        <w:gridCol w:w="4819"/>
      </w:tblGrid>
      <w:tr w:rsidR="00592A4C" w:rsidRPr="00474352" w:rsidTr="00A81DC7">
        <w:tc>
          <w:tcPr>
            <w:tcW w:w="2118" w:type="dxa"/>
          </w:tcPr>
          <w:p w:rsidR="00592A4C" w:rsidRPr="00474352" w:rsidRDefault="00592A4C" w:rsidP="00592A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Рейтинг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результативності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досягнення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цілей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час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вирішення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проблеми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10" w:type="dxa"/>
          </w:tcPr>
          <w:p w:rsidR="00592A4C" w:rsidRPr="00474352" w:rsidRDefault="00592A4C" w:rsidP="00592A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Бал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результативності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(за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чотирибальною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системою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оцінки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19" w:type="dxa"/>
          </w:tcPr>
          <w:p w:rsidR="00592A4C" w:rsidRPr="00474352" w:rsidRDefault="00592A4C" w:rsidP="00592A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Коментарі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присвоєння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відповідного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балу</w:t>
            </w:r>
          </w:p>
        </w:tc>
      </w:tr>
      <w:tr w:rsidR="00592A4C" w:rsidRPr="00474352" w:rsidTr="00A81DC7">
        <w:tc>
          <w:tcPr>
            <w:tcW w:w="2118" w:type="dxa"/>
          </w:tcPr>
          <w:p w:rsidR="00592A4C" w:rsidRPr="00474352" w:rsidRDefault="00592A4C" w:rsidP="00592A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Альтернатива 1</w:t>
            </w:r>
          </w:p>
        </w:tc>
        <w:tc>
          <w:tcPr>
            <w:tcW w:w="2810" w:type="dxa"/>
          </w:tcPr>
          <w:p w:rsidR="00592A4C" w:rsidRPr="00474352" w:rsidRDefault="00F55620" w:rsidP="00592A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819" w:type="dxa"/>
          </w:tcPr>
          <w:p w:rsidR="00195DBC" w:rsidRPr="00474352" w:rsidRDefault="001D00D3" w:rsidP="001D00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Цілі можуть бути досягнуті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 w:eastAsia="uk-UA"/>
              </w:rPr>
              <w:t xml:space="preserve"> 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лише частково. </w:t>
            </w:r>
          </w:p>
          <w:p w:rsidR="00592A4C" w:rsidRPr="00474352" w:rsidRDefault="001D00D3" w:rsidP="001D00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Деякі важливі та критичні аспекти проблеми залишаться невирішеними</w:t>
            </w:r>
          </w:p>
        </w:tc>
      </w:tr>
      <w:tr w:rsidR="00F55620" w:rsidRPr="00474352" w:rsidTr="00A81DC7">
        <w:tc>
          <w:tcPr>
            <w:tcW w:w="2118" w:type="dxa"/>
          </w:tcPr>
          <w:p w:rsidR="00F55620" w:rsidRPr="00474352" w:rsidRDefault="00F55620" w:rsidP="0059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Альтернатива 2</w:t>
            </w:r>
          </w:p>
        </w:tc>
        <w:tc>
          <w:tcPr>
            <w:tcW w:w="2810" w:type="dxa"/>
          </w:tcPr>
          <w:p w:rsidR="00F55620" w:rsidRPr="00474352" w:rsidRDefault="00F55620" w:rsidP="00592A4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819" w:type="dxa"/>
          </w:tcPr>
          <w:p w:rsidR="00F55620" w:rsidRPr="00474352" w:rsidRDefault="00F55620" w:rsidP="00592A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Цілі не можуть бути досягнуті</w:t>
            </w:r>
          </w:p>
        </w:tc>
      </w:tr>
      <w:tr w:rsidR="00592A4C" w:rsidRPr="00474352" w:rsidTr="00A81DC7">
        <w:tc>
          <w:tcPr>
            <w:tcW w:w="2118" w:type="dxa"/>
          </w:tcPr>
          <w:p w:rsidR="00592A4C" w:rsidRPr="00474352" w:rsidRDefault="00592A4C" w:rsidP="00F556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Альтернатива </w:t>
            </w:r>
            <w:r w:rsidR="00F55620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810" w:type="dxa"/>
          </w:tcPr>
          <w:p w:rsidR="00592A4C" w:rsidRPr="00474352" w:rsidRDefault="00592A4C" w:rsidP="00592A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592A4C" w:rsidRPr="00474352" w:rsidRDefault="00592A4C" w:rsidP="0041122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Є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найбільш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прийнятним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ефективним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способом,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який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дозволить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досягти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мети державного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встановить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єдині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методологічні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ідходи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під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час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передачі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комунального</w:t>
            </w: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майна </w:t>
            </w:r>
            <w:r w:rsidR="0041122D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оренду.</w:t>
            </w:r>
          </w:p>
        </w:tc>
      </w:tr>
    </w:tbl>
    <w:p w:rsidR="00592A4C" w:rsidRPr="00474352" w:rsidRDefault="00592A4C" w:rsidP="00592A4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6"/>
        <w:gridCol w:w="2974"/>
        <w:gridCol w:w="1840"/>
        <w:gridCol w:w="7"/>
        <w:gridCol w:w="421"/>
        <w:gridCol w:w="2126"/>
      </w:tblGrid>
      <w:tr w:rsidR="00DD37B6" w:rsidRPr="00474352" w:rsidTr="00A81DC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B6" w:rsidRPr="00474352" w:rsidRDefault="00DD37B6" w:rsidP="00B06F22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Рейтинг результативності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6" w:rsidRPr="00474352" w:rsidRDefault="00DD37B6" w:rsidP="00B06F22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Вигоди (підсумок)</w:t>
            </w:r>
          </w:p>
          <w:p w:rsidR="00DD37B6" w:rsidRPr="00474352" w:rsidRDefault="00DD37B6" w:rsidP="00B06F22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6" w:rsidRPr="00474352" w:rsidRDefault="00DD37B6" w:rsidP="00B06F22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Витрати (підсумок)</w:t>
            </w:r>
          </w:p>
          <w:p w:rsidR="00DD37B6" w:rsidRPr="00474352" w:rsidRDefault="00DD37B6" w:rsidP="00B06F22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7B6" w:rsidRPr="00474352" w:rsidRDefault="00DD37B6" w:rsidP="00B06F22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DD37B6" w:rsidRPr="00474352" w:rsidTr="00A81DC7">
        <w:trPr>
          <w:trHeight w:val="10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7B6" w:rsidRPr="00474352" w:rsidRDefault="00DD37B6" w:rsidP="00B06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Альтернатива 1.</w:t>
            </w:r>
          </w:p>
          <w:p w:rsidR="00DD37B6" w:rsidRPr="00474352" w:rsidRDefault="00DD37B6" w:rsidP="00B06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7B6" w:rsidRPr="00474352" w:rsidRDefault="00DD37B6" w:rsidP="00B06F22">
            <w:pPr>
              <w:pStyle w:val="a7"/>
              <w:shd w:val="clear" w:color="auto" w:fill="FFFFF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</w:t>
            </w:r>
          </w:p>
          <w:p w:rsidR="00DD37B6" w:rsidRPr="00474352" w:rsidRDefault="00DD37B6" w:rsidP="00B06F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7B6" w:rsidRPr="00474352" w:rsidRDefault="00DD37B6" w:rsidP="00B06F22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Невиконання вимог Закону України «Про оренду державного та комунального майна»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37B6" w:rsidRPr="00474352" w:rsidRDefault="00DD37B6" w:rsidP="00B06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Цілі не можуть бути досягнуті</w:t>
            </w:r>
          </w:p>
        </w:tc>
      </w:tr>
      <w:tr w:rsidR="00AC0774" w:rsidRPr="00474352" w:rsidTr="00A81DC7">
        <w:trPr>
          <w:trHeight w:val="10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774" w:rsidRPr="00474352" w:rsidRDefault="00AC0774" w:rsidP="00B06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Альтернатива 2.</w:t>
            </w:r>
          </w:p>
          <w:p w:rsidR="00AC0774" w:rsidRPr="00474352" w:rsidRDefault="00AC0774" w:rsidP="00B06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0774" w:rsidRPr="00474352" w:rsidRDefault="00AC0774" w:rsidP="00B06F22">
            <w:pPr>
              <w:pStyle w:val="a7"/>
              <w:shd w:val="clear" w:color="auto" w:fill="FFFFFF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</w:t>
            </w:r>
          </w:p>
          <w:p w:rsidR="00AC0774" w:rsidRPr="00474352" w:rsidRDefault="00AC0774" w:rsidP="00B06F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774" w:rsidRPr="00474352" w:rsidRDefault="00AC0774" w:rsidP="00B06F22">
            <w:pPr>
              <w:pStyle w:val="a7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Невиконання вимог Закону України «Про оренду державного та комунального майна»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0774" w:rsidRPr="00474352" w:rsidRDefault="00AC0774" w:rsidP="00B06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Цілі не можуть бути досягнуті</w:t>
            </w:r>
          </w:p>
        </w:tc>
      </w:tr>
      <w:tr w:rsidR="00AC0774" w:rsidRPr="00474352" w:rsidTr="00A81DC7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4" w:rsidRPr="00474352" w:rsidRDefault="00AC0774" w:rsidP="00B06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Альтернатива 3.</w:t>
            </w:r>
          </w:p>
          <w:p w:rsidR="00AC0774" w:rsidRPr="00474352" w:rsidRDefault="00AC0774" w:rsidP="00B06F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D84" w:rsidRPr="00474352" w:rsidRDefault="00AC0774" w:rsidP="00944D84">
            <w:pPr>
              <w:tabs>
                <w:tab w:val="left" w:pos="5245"/>
              </w:tabs>
              <w:spacing w:after="0"/>
              <w:ind w:right="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Прийняття </w:t>
            </w:r>
            <w:r w:rsidR="00202628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нового </w:t>
            </w:r>
            <w:r w:rsidR="00944D84"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положення</w:t>
            </w:r>
            <w:r w:rsidR="00A81DC7"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 xml:space="preserve"> </w:t>
            </w:r>
            <w:r w:rsidR="00944D84"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 xml:space="preserve">про оренду комунального майна </w:t>
            </w:r>
          </w:p>
          <w:p w:rsidR="00944D84" w:rsidRPr="00474352" w:rsidRDefault="00944D84" w:rsidP="00A81DC7">
            <w:pPr>
              <w:tabs>
                <w:tab w:val="left" w:pos="5245"/>
              </w:tabs>
              <w:spacing w:after="0"/>
              <w:ind w:right="6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та забезпечення відносин у сфері</w:t>
            </w:r>
            <w:r w:rsidR="00A81DC7"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 xml:space="preserve"> 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оренди комунального майна Іванівської селищної</w:t>
            </w:r>
            <w:r w:rsidR="00A81DC7"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 xml:space="preserve"> 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територіальної</w:t>
            </w:r>
            <w:r w:rsidR="00A81DC7"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громади</w:t>
            </w:r>
          </w:p>
          <w:p w:rsidR="00AC0774" w:rsidRPr="00474352" w:rsidRDefault="00AC0774" w:rsidP="00B0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забезпечить оновлення, актуалізацію та уніфікацію правовідносин у сфері 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оренди комунального майна, дозволить врахувати ті зміни, які були прийняті у чинному законодавстві України, дасть змогу систематизації та упорядкування внесених змін.</w:t>
            </w:r>
          </w:p>
          <w:p w:rsidR="00AC0774" w:rsidRPr="00474352" w:rsidRDefault="00AC0774" w:rsidP="00A81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Можливість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використовувати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отримувати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умовах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оренди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комунальне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майно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своєї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господарської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діяльності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отримання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прибутку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4" w:rsidRPr="00474352" w:rsidRDefault="00E25FE8" w:rsidP="00B06F2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Відсутні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4" w:rsidRPr="00474352" w:rsidRDefault="00AC0774" w:rsidP="00B06F22">
            <w:pPr>
              <w:spacing w:after="0" w:line="240" w:lineRule="auto"/>
              <w:ind w:right="-1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Цей регуляторний акт відповідає потребам у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</w:t>
            </w:r>
            <w:proofErr w:type="spellEnd"/>
            <w:r w:rsidR="00944D84" w:rsidRPr="00474352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язанні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визначеної проблеми та принципам державної регуляторної політики.</w:t>
            </w:r>
          </w:p>
          <w:p w:rsidR="00AC0774" w:rsidRPr="00474352" w:rsidRDefault="00AC0774" w:rsidP="00B06F22">
            <w:pPr>
              <w:spacing w:after="0" w:line="240" w:lineRule="auto"/>
              <w:ind w:right="-1"/>
              <w:contextualSpacing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Затвердження </w:t>
            </w: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такого регуляторного акта забезпечить досягнення встановлених цілей</w:t>
            </w:r>
          </w:p>
          <w:p w:rsidR="00AC0774" w:rsidRPr="00474352" w:rsidRDefault="00AC0774" w:rsidP="00B06F22">
            <w:pPr>
              <w:spacing w:after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</w:p>
        </w:tc>
      </w:tr>
      <w:tr w:rsidR="00AC0774" w:rsidRPr="00474352" w:rsidTr="00A81DC7">
        <w:trPr>
          <w:trHeight w:val="64"/>
        </w:trPr>
        <w:tc>
          <w:tcPr>
            <w:tcW w:w="97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DC7" w:rsidRPr="00474352" w:rsidRDefault="00A81DC7" w:rsidP="00E06A97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C0774" w:rsidRPr="00474352" w:rsidTr="00A81DC7">
        <w:trPr>
          <w:trHeight w:val="304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4" w:rsidRPr="00474352" w:rsidRDefault="00AC0774" w:rsidP="00E06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Рейтинг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4" w:rsidRPr="00474352" w:rsidRDefault="00AC0774" w:rsidP="00E06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Аргументи щодо</w:t>
            </w:r>
          </w:p>
          <w:p w:rsidR="00AC0774" w:rsidRPr="00474352" w:rsidRDefault="00AC0774" w:rsidP="00E06A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переваги обраної альтернативи/причини відмови від альтернативи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4" w:rsidRPr="00474352" w:rsidRDefault="00AC0774" w:rsidP="00E06A97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Оцінка ризику</w:t>
            </w:r>
          </w:p>
          <w:p w:rsidR="00AC0774" w:rsidRPr="00474352" w:rsidRDefault="00AC0774" w:rsidP="00E06A97">
            <w:pPr>
              <w:tabs>
                <w:tab w:val="left" w:pos="-3686"/>
              </w:tabs>
              <w:spacing w:after="0" w:line="240" w:lineRule="auto"/>
              <w:ind w:right="4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зовнішніх чинників на дію запропонованого регуляторного акта</w:t>
            </w:r>
          </w:p>
        </w:tc>
      </w:tr>
      <w:tr w:rsidR="00AC0774" w:rsidRPr="00474352" w:rsidTr="00A81DC7">
        <w:trPr>
          <w:trHeight w:val="345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4" w:rsidRPr="00474352" w:rsidRDefault="00AC0774" w:rsidP="00E06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Альтернатива 1.</w:t>
            </w:r>
          </w:p>
          <w:p w:rsidR="00AC0774" w:rsidRPr="00474352" w:rsidRDefault="00AC0774" w:rsidP="00E06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0774" w:rsidRPr="00474352" w:rsidRDefault="00AC0774" w:rsidP="00E06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74" w:rsidRPr="00474352" w:rsidRDefault="00AC0774" w:rsidP="00E06A9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474352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Дана альтернатива не призведе до усунення проблематики, яка існує</w:t>
            </w:r>
          </w:p>
          <w:p w:rsidR="00AC0774" w:rsidRPr="00474352" w:rsidRDefault="00AC0774" w:rsidP="00A81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Неприйнятна альтернатива з огляду на те, що пр</w:t>
            </w:r>
            <w:r w:rsidR="00A81DC7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облема залишається невирішеною.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74" w:rsidRPr="00474352" w:rsidRDefault="00AC0774" w:rsidP="00E06A97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0774" w:rsidRPr="00474352" w:rsidRDefault="00AC0774" w:rsidP="00E06A97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</w:t>
            </w:r>
          </w:p>
          <w:p w:rsidR="00AC0774" w:rsidRPr="00474352" w:rsidRDefault="00AC0774" w:rsidP="00E06A97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AC0774" w:rsidRPr="00474352" w:rsidRDefault="00AC0774" w:rsidP="00E06A97">
            <w:pPr>
              <w:spacing w:after="0" w:line="240" w:lineRule="auto"/>
              <w:ind w:right="-1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25FE8" w:rsidRPr="00474352" w:rsidTr="00A81DC7">
        <w:trPr>
          <w:trHeight w:val="345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8" w:rsidRPr="00474352" w:rsidRDefault="00E25FE8" w:rsidP="00E25F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Альтернатива 2.</w:t>
            </w:r>
          </w:p>
          <w:p w:rsidR="00E25FE8" w:rsidRPr="00474352" w:rsidRDefault="00E25FE8" w:rsidP="00E06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8" w:rsidRPr="00474352" w:rsidRDefault="00E25FE8" w:rsidP="003D7B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</w:pPr>
            <w:r w:rsidRPr="00474352">
              <w:rPr>
                <w:rFonts w:ascii="Times New Roman" w:hAnsi="Times New Roman" w:cs="Times New Roman"/>
                <w:bCs/>
                <w:sz w:val="26"/>
                <w:szCs w:val="26"/>
                <w:lang w:val="uk-UA" w:eastAsia="uk-UA"/>
              </w:rPr>
              <w:t>Дана альтернатива не призведе до усунення проблематики, яка існує</w:t>
            </w:r>
          </w:p>
          <w:p w:rsidR="00E25FE8" w:rsidRPr="00474352" w:rsidRDefault="00E25FE8" w:rsidP="00A81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Неприйнятна альтернатива з огляду на те, що пр</w:t>
            </w:r>
            <w:r w:rsidR="00A81DC7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облема залишається невирішеною.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8" w:rsidRPr="00474352" w:rsidRDefault="00E25FE8" w:rsidP="003D7B04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25FE8" w:rsidRPr="00474352" w:rsidRDefault="00E25FE8" w:rsidP="003D7B04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Відсутні</w:t>
            </w:r>
          </w:p>
          <w:p w:rsidR="00E25FE8" w:rsidRPr="00474352" w:rsidRDefault="00E25FE8" w:rsidP="003D7B04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25FE8" w:rsidRPr="00474352" w:rsidRDefault="00E25FE8" w:rsidP="003D7B04">
            <w:pPr>
              <w:spacing w:after="0" w:line="240" w:lineRule="auto"/>
              <w:ind w:right="-1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25FE8" w:rsidRPr="00474352" w:rsidTr="00A81DC7">
        <w:trPr>
          <w:trHeight w:val="345"/>
        </w:trPr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E8" w:rsidRPr="00474352" w:rsidRDefault="00E25FE8" w:rsidP="00E06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Альтернатива 3.</w:t>
            </w:r>
          </w:p>
          <w:p w:rsidR="00E25FE8" w:rsidRPr="00474352" w:rsidRDefault="00E25FE8" w:rsidP="00E06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8" w:rsidRPr="00474352" w:rsidRDefault="00E25FE8" w:rsidP="00E0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Прийняття даного регуляторного акту забезпечить врегулювання порушеного питання з дотриманням вимог чинного законодавства України.</w:t>
            </w:r>
          </w:p>
          <w:p w:rsidR="00E25FE8" w:rsidRPr="00474352" w:rsidRDefault="00E25FE8" w:rsidP="00E06A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Чітко визначено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розрахунок і порядок орендної плати,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спрямування та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використання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орендної плати.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E8" w:rsidRPr="00474352" w:rsidRDefault="00E25FE8" w:rsidP="00E06A97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 разі зміни зовнішніх факторів відповідний регуляторний акт може бути переглянутий.</w:t>
            </w:r>
          </w:p>
          <w:p w:rsidR="00E25FE8" w:rsidRPr="00474352" w:rsidRDefault="00E25FE8" w:rsidP="00E06A97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E25FE8" w:rsidRPr="00474352" w:rsidRDefault="00E25FE8" w:rsidP="00E06A97">
            <w:pPr>
              <w:spacing w:after="0" w:line="240" w:lineRule="auto"/>
              <w:ind w:right="-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DD37B6" w:rsidRPr="00474352" w:rsidRDefault="00DD37B6" w:rsidP="00592A4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92A4C" w:rsidRPr="00474352" w:rsidRDefault="00E02821" w:rsidP="00592A4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b/>
          <w:sz w:val="26"/>
          <w:szCs w:val="26"/>
        </w:rPr>
        <w:t xml:space="preserve">V.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Механізми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та заходи,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які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забезпечать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розв'язання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визначеної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проблеми</w:t>
      </w:r>
      <w:proofErr w:type="spellEnd"/>
    </w:p>
    <w:p w:rsidR="00592A4C" w:rsidRPr="00474352" w:rsidRDefault="00592A4C" w:rsidP="00592A4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92A4C" w:rsidRPr="00474352" w:rsidRDefault="00E02821" w:rsidP="007D40F4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Механізм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дії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регуляторного акта. </w:t>
      </w:r>
    </w:p>
    <w:p w:rsidR="004D461B" w:rsidRPr="00474352" w:rsidRDefault="004D461B" w:rsidP="007D40F4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         Прийняття запропонованого нормативного акта дасть змогу реалізува</w:t>
      </w:r>
      <w:r w:rsidR="00A81DC7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ти норми нового ЗУ «Про оренду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державного та комунального майна» з врахуванням особливостей оренди комунального майна та в межах, дозволених Законом. </w:t>
      </w:r>
    </w:p>
    <w:p w:rsidR="007D40F4" w:rsidRPr="00474352" w:rsidRDefault="004D461B" w:rsidP="007D40F4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  А саме, передавати в оренду об’єкти комунальної власності </w:t>
      </w:r>
      <w:r w:rsidR="00A81DC7" w:rsidRPr="00474352">
        <w:rPr>
          <w:rFonts w:ascii="Times New Roman" w:hAnsi="Times New Roman" w:cs="Times New Roman"/>
          <w:sz w:val="26"/>
          <w:szCs w:val="26"/>
          <w:lang w:val="uk-UA"/>
        </w:rPr>
        <w:t>Іванівської селищної ради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(крім землі) на конкурентних засадах способом проведення електронного аукціону з надання майна в оренду (в тому числі електронного аукціону щодо продовження договору оренди).</w:t>
      </w:r>
    </w:p>
    <w:p w:rsidR="007D40F4" w:rsidRPr="00474352" w:rsidRDefault="007D40F4" w:rsidP="007D40F4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4D461B" w:rsidRPr="00474352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корочено терміни проведення цієї процедури за рахунок скорочення відповідно строків на опрацювання матеріалів безпосередньо орендодавцем, </w:t>
      </w:r>
      <w:proofErr w:type="spellStart"/>
      <w:r w:rsidRPr="00474352">
        <w:rPr>
          <w:rFonts w:ascii="Times New Roman" w:hAnsi="Times New Roman" w:cs="Times New Roman"/>
          <w:sz w:val="26"/>
          <w:szCs w:val="26"/>
          <w:lang w:val="uk-UA"/>
        </w:rPr>
        <w:t>балансоутримувачем</w:t>
      </w:r>
      <w:proofErr w:type="spellEnd"/>
      <w:r w:rsidRPr="0047435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D40F4" w:rsidRPr="00474352" w:rsidRDefault="007D40F4" w:rsidP="00A81DC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Крім того, запроваджено спрощену</w:t>
      </w:r>
      <w:r w:rsidR="004D461B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процедуру укладення договору у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разі внесення майна до переліку потенційних об’єктів оренди.</w:t>
      </w:r>
    </w:p>
    <w:p w:rsidR="00AA3E9C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Чинн</w:t>
      </w:r>
      <w:r w:rsidR="004D461B" w:rsidRPr="00474352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D461B" w:rsidRPr="00474352">
        <w:rPr>
          <w:rFonts w:ascii="Times New Roman" w:hAnsi="Times New Roman" w:cs="Times New Roman"/>
          <w:sz w:val="26"/>
          <w:szCs w:val="26"/>
          <w:lang w:val="uk-UA"/>
        </w:rPr>
        <w:t>Положення</w:t>
      </w:r>
      <w:r w:rsidR="00AA3E9C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буде визнан</w:t>
      </w:r>
      <w:r w:rsidR="004D461B" w:rsidRPr="00474352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так</w:t>
      </w:r>
      <w:r w:rsidR="004D461B" w:rsidRPr="00474352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, що втратил</w:t>
      </w:r>
      <w:r w:rsidR="004D461B" w:rsidRPr="00474352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чинність. </w:t>
      </w:r>
    </w:p>
    <w:p w:rsidR="00AA3E9C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Організаційні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заходи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впровадження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регуляторного акта в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дію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3E9C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розв’язання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проблем,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визначених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розділі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І,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передбачається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визначити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чіткий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механізм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впорядкування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процедури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контролю. </w:t>
      </w:r>
    </w:p>
    <w:p w:rsidR="00337457" w:rsidRPr="00474352" w:rsidRDefault="00A81DC7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Іванівській селищній</w:t>
      </w:r>
      <w:r w:rsidR="00AA3E9C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раді</w:t>
      </w:r>
      <w:r w:rsidR="00E02821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для впровадження вимог державного регулювання необхідно: </w:t>
      </w:r>
    </w:p>
    <w:p w:rsidR="00337457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1) забезпечити інформування про вимоги регуляторного акта суб’єктів господарювання – шляхом оприлюднення регул</w:t>
      </w:r>
      <w:r w:rsidR="00157327">
        <w:rPr>
          <w:rFonts w:ascii="Times New Roman" w:hAnsi="Times New Roman" w:cs="Times New Roman"/>
          <w:sz w:val="26"/>
          <w:szCs w:val="26"/>
          <w:lang w:val="uk-UA"/>
        </w:rPr>
        <w:t xml:space="preserve">яторного акта на офіційному </w:t>
      </w:r>
      <w:proofErr w:type="spellStart"/>
      <w:r w:rsidR="00157327">
        <w:rPr>
          <w:rFonts w:ascii="Times New Roman" w:hAnsi="Times New Roman" w:cs="Times New Roman"/>
          <w:sz w:val="26"/>
          <w:szCs w:val="26"/>
          <w:lang w:val="uk-UA"/>
        </w:rPr>
        <w:t>веб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сайті</w:t>
      </w:r>
      <w:proofErr w:type="spellEnd"/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337457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2) організувати виконання вимог регулювання.</w:t>
      </w:r>
    </w:p>
    <w:p w:rsidR="00337457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Суб’єктам господарювання для впровадження вимог регулювання необхідно:</w:t>
      </w:r>
    </w:p>
    <w:p w:rsidR="00337457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1) ознайомитися з вимогами регулювання; </w:t>
      </w:r>
    </w:p>
    <w:p w:rsidR="00337457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2) організувати виконання вимог регулювання. </w:t>
      </w:r>
    </w:p>
    <w:p w:rsidR="00337457" w:rsidRPr="00474352" w:rsidRDefault="00337457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37457" w:rsidRPr="00474352" w:rsidRDefault="00E02821" w:rsidP="0033745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b/>
          <w:sz w:val="26"/>
          <w:szCs w:val="26"/>
        </w:rPr>
        <w:t>VI</w:t>
      </w:r>
      <w:r w:rsidRPr="00474352">
        <w:rPr>
          <w:rFonts w:ascii="Times New Roman" w:hAnsi="Times New Roman" w:cs="Times New Roman"/>
          <w:b/>
          <w:sz w:val="26"/>
          <w:szCs w:val="26"/>
          <w:lang w:val="uk-UA"/>
        </w:rPr>
        <w:t>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7550A4" w:rsidRPr="00474352" w:rsidRDefault="007550A4" w:rsidP="007550A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7435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Питома вага суб’єктів малого підприємництва у загальній кількості суб’єктів господарювання, на яких поширюється регулювання, </w:t>
      </w:r>
      <w:r w:rsidR="00A81DC7" w:rsidRPr="0047435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складає 100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%, тому здійснюється розрахунок витрат на запровадження державного регулювання для суб’єктів малого підприємництва згідно з додатком 4 до Методики проведення а</w:t>
      </w:r>
      <w:r w:rsidR="0015732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налізу впливу регуляторного акта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(Тест малого підприємництва).</w:t>
      </w:r>
    </w:p>
    <w:p w:rsidR="00337457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Реалізація регуляторного акта не передбачає нових витрат, пов’язаних із здійсненням органом виконавчої влади контрольних функцій (здійснюються спеціалістами у межах службових повноважень). </w:t>
      </w:r>
    </w:p>
    <w:p w:rsidR="00337457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Передбачаються можливі витрати органу </w:t>
      </w:r>
      <w:r w:rsidR="00337457" w:rsidRPr="00474352">
        <w:rPr>
          <w:rFonts w:ascii="Times New Roman" w:hAnsi="Times New Roman" w:cs="Times New Roman"/>
          <w:sz w:val="26"/>
          <w:szCs w:val="26"/>
          <w:lang w:val="uk-UA"/>
        </w:rPr>
        <w:t>місцевої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влади через збільшення часових витрат на здійснення певних дій з надання консультацій та роз’яснень (усних, письмових) суб’єктам господарювання – учасникам договірних відносин (тривалість – 1 рік). </w:t>
      </w:r>
    </w:p>
    <w:p w:rsidR="005971D8" w:rsidRPr="00474352" w:rsidRDefault="005971D8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71D8" w:rsidRPr="00474352" w:rsidRDefault="00E02821" w:rsidP="005971D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b/>
          <w:sz w:val="26"/>
          <w:szCs w:val="26"/>
        </w:rPr>
        <w:t xml:space="preserve">VII.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Обґрунтування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запропонованого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строку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дії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регуляторного акта</w:t>
      </w:r>
    </w:p>
    <w:p w:rsidR="005971D8" w:rsidRPr="00474352" w:rsidRDefault="005971D8" w:rsidP="00A81D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71D8" w:rsidRPr="00474352" w:rsidRDefault="00E02821" w:rsidP="00A81D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74352">
        <w:rPr>
          <w:rFonts w:ascii="Times New Roman" w:hAnsi="Times New Roman" w:cs="Times New Roman"/>
          <w:sz w:val="26"/>
          <w:szCs w:val="26"/>
        </w:rPr>
        <w:lastRenderedPageBreak/>
        <w:t>Запропонований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про</w:t>
      </w:r>
      <w:r w:rsidR="00157327">
        <w:rPr>
          <w:rFonts w:ascii="Times New Roman" w:hAnsi="Times New Roman" w:cs="Times New Roman"/>
          <w:sz w:val="26"/>
          <w:szCs w:val="26"/>
          <w:lang w:val="uk-UA"/>
        </w:rPr>
        <w:t>є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кт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акта буде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діяти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нього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, до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до нормативно-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правових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актів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мають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вищу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юридичну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силу,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стосуються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зазначеної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сфери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регулювання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435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74352">
        <w:rPr>
          <w:rFonts w:ascii="Times New Roman" w:hAnsi="Times New Roman" w:cs="Times New Roman"/>
          <w:sz w:val="26"/>
          <w:szCs w:val="26"/>
        </w:rPr>
        <w:t xml:space="preserve"> моменту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визнання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таким,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втратив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чинність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71D8" w:rsidRPr="00474352" w:rsidRDefault="00E02821" w:rsidP="00A81DC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</w:rPr>
        <w:t>Про</w:t>
      </w:r>
      <w:r w:rsidR="005971D8" w:rsidRPr="00474352">
        <w:rPr>
          <w:rFonts w:ascii="Times New Roman" w:hAnsi="Times New Roman" w:cs="Times New Roman"/>
          <w:sz w:val="26"/>
          <w:szCs w:val="26"/>
          <w:lang w:val="uk-UA"/>
        </w:rPr>
        <w:t>є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кт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971D8" w:rsidRPr="00474352">
        <w:rPr>
          <w:rFonts w:ascii="Times New Roman" w:hAnsi="Times New Roman" w:cs="Times New Roman"/>
          <w:sz w:val="26"/>
          <w:szCs w:val="26"/>
          <w:lang w:val="uk-UA"/>
        </w:rPr>
        <w:t>р</w:t>
      </w:r>
      <w:proofErr w:type="gramEnd"/>
      <w:r w:rsidR="005971D8" w:rsidRPr="00474352">
        <w:rPr>
          <w:rFonts w:ascii="Times New Roman" w:hAnsi="Times New Roman" w:cs="Times New Roman"/>
          <w:sz w:val="26"/>
          <w:szCs w:val="26"/>
          <w:lang w:val="uk-UA"/>
        </w:rPr>
        <w:t>ішення</w:t>
      </w:r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набере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чинності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з дня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r w:rsidR="005971D8" w:rsidRPr="00474352">
        <w:rPr>
          <w:rFonts w:ascii="Times New Roman" w:hAnsi="Times New Roman" w:cs="Times New Roman"/>
          <w:sz w:val="26"/>
          <w:szCs w:val="26"/>
          <w:lang w:val="uk-UA"/>
        </w:rPr>
        <w:t>прийняття</w:t>
      </w:r>
      <w:r w:rsidRPr="0047435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50A4" w:rsidRPr="00474352" w:rsidRDefault="007550A4" w:rsidP="00A81D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uk-UA" w:bidi="uk-UA"/>
        </w:rPr>
      </w:pPr>
      <w:r w:rsidRPr="00474352">
        <w:rPr>
          <w:rFonts w:ascii="Times New Roman" w:eastAsia="Calibri" w:hAnsi="Times New Roman" w:cs="Times New Roman"/>
          <w:sz w:val="26"/>
          <w:szCs w:val="26"/>
          <w:lang w:val="uk-UA" w:eastAsia="uk-UA" w:bidi="uk-UA"/>
        </w:rPr>
        <w:t>Термін дії запропонованого регуляторного акта - не обмежений, оскільки нормативно-правові акти вищого рівня, на виконання яких розроблено акт, мають необмежений термін чинності.</w:t>
      </w:r>
    </w:p>
    <w:p w:rsidR="007550A4" w:rsidRPr="00474352" w:rsidRDefault="007550A4" w:rsidP="00A81DC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 w:eastAsia="uk-UA" w:bidi="uk-UA"/>
        </w:rPr>
      </w:pPr>
      <w:r w:rsidRPr="00474352">
        <w:rPr>
          <w:rFonts w:ascii="Times New Roman" w:eastAsia="Microsoft Sans Serif" w:hAnsi="Times New Roman" w:cs="Times New Roman"/>
          <w:sz w:val="26"/>
          <w:szCs w:val="26"/>
          <w:lang w:val="uk-UA" w:eastAsia="uk-UA" w:bidi="uk-UA"/>
        </w:rPr>
        <w:t xml:space="preserve">При виникненні змін у чинному законодавстві, які можуть впливати на дію запропонованого регуляторного акта та за результатами здійснення заходів з відстеження результативності регуляторного </w:t>
      </w:r>
      <w:r w:rsidR="00157327">
        <w:rPr>
          <w:rFonts w:ascii="Times New Roman" w:eastAsia="Microsoft Sans Serif" w:hAnsi="Times New Roman" w:cs="Times New Roman"/>
          <w:sz w:val="26"/>
          <w:szCs w:val="26"/>
          <w:lang w:val="uk-UA" w:eastAsia="uk-UA" w:bidi="uk-UA"/>
        </w:rPr>
        <w:t>акта</w:t>
      </w:r>
      <w:r w:rsidRPr="00474352">
        <w:rPr>
          <w:rFonts w:ascii="Times New Roman" w:eastAsia="Microsoft Sans Serif" w:hAnsi="Times New Roman" w:cs="Times New Roman"/>
          <w:sz w:val="26"/>
          <w:szCs w:val="26"/>
          <w:lang w:val="uk-UA" w:eastAsia="uk-UA" w:bidi="uk-UA"/>
        </w:rPr>
        <w:t xml:space="preserve"> до нього можуть вноситись відповідні зміни та доповнення.</w:t>
      </w:r>
    </w:p>
    <w:p w:rsidR="005971D8" w:rsidRPr="00474352" w:rsidRDefault="007550A4" w:rsidP="00A81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Строк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чинності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регуляторного акта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обумовлений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терміном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дії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існуючої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правової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бази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може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бути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переглянутий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чи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скасований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її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зм</w:t>
      </w:r>
      <w:proofErr w:type="gramEnd"/>
      <w:r w:rsidRPr="00474352">
        <w:rPr>
          <w:rFonts w:ascii="Times New Roman" w:eastAsia="Times New Roman" w:hAnsi="Times New Roman" w:cs="Times New Roman"/>
          <w:sz w:val="26"/>
          <w:szCs w:val="26"/>
        </w:rPr>
        <w:t>іні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. На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дію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цього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регуляторного акта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також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негативно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можуть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вплинути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економічна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  криза та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значні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темпи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інфляції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81DC7" w:rsidRPr="00474352" w:rsidRDefault="00A81DC7" w:rsidP="00A81D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5971D8" w:rsidRPr="00474352" w:rsidRDefault="00E02821" w:rsidP="00A81DC7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b/>
          <w:sz w:val="26"/>
          <w:szCs w:val="26"/>
        </w:rPr>
        <w:t xml:space="preserve">VIII.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Визначення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показників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результативності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дії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регуляторного акта</w:t>
      </w:r>
    </w:p>
    <w:p w:rsidR="007550A4" w:rsidRPr="00474352" w:rsidRDefault="007550A4" w:rsidP="007550A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В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изначено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57327">
        <w:rPr>
          <w:rFonts w:ascii="Times New Roman" w:eastAsia="Times New Roman" w:hAnsi="Times New Roman" w:cs="Times New Roman"/>
          <w:sz w:val="26"/>
          <w:szCs w:val="26"/>
          <w:lang w:val="uk-UA"/>
        </w:rPr>
        <w:t>наступні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показники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, що підлягають</w:t>
      </w:r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відстеженн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ю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результативності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дії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регуляторного акта</w:t>
      </w:r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324E38" w:rsidRPr="00474352" w:rsidRDefault="00324E38" w:rsidP="007550A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550A4" w:rsidRPr="00474352" w:rsidRDefault="007550A4" w:rsidP="007550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Показниками результативності регуляторного акту є: </w:t>
      </w: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766"/>
        <w:gridCol w:w="1246"/>
        <w:gridCol w:w="2336"/>
        <w:gridCol w:w="1621"/>
      </w:tblGrid>
      <w:tr w:rsidR="007550A4" w:rsidRPr="00157327" w:rsidTr="00E06A9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п/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Одиниця виміру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Прогнозне значення показника за поточний рік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4" w:rsidRPr="00474352" w:rsidRDefault="007550A4" w:rsidP="00D3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Style w:val="2"/>
                <w:rFonts w:ascii="Times New Roman" w:hAnsi="Times New Roman" w:cs="Times New Roman"/>
                <w:sz w:val="26"/>
                <w:szCs w:val="26"/>
                <w:lang w:val="uk-UA"/>
              </w:rPr>
              <w:t>(очікувані у</w:t>
            </w:r>
            <w:r w:rsidR="00C223DE" w:rsidRPr="00474352">
              <w:rPr>
                <w:rStyle w:val="2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74B0A" w:rsidRPr="00474352">
              <w:rPr>
                <w:rStyle w:val="2"/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D32C1D" w:rsidRPr="00474352">
              <w:rPr>
                <w:rStyle w:val="2"/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B74B0A" w:rsidRPr="00474352">
              <w:rPr>
                <w:rStyle w:val="2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році</w:t>
            </w:r>
            <w:r w:rsidRPr="00474352">
              <w:rPr>
                <w:rStyle w:val="2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зв’язку з прийняттям рішення)</w:t>
            </w:r>
          </w:p>
        </w:tc>
      </w:tr>
      <w:tr w:rsidR="007550A4" w:rsidRPr="00474352" w:rsidTr="00E06A9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0A4" w:rsidRPr="00474352" w:rsidRDefault="007550A4" w:rsidP="004C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Розмір надходжень до місцевого бюджету, пов’</w:t>
            </w:r>
            <w:r w:rsidR="004C52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язаних з дією регуляторного акта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(орієнтовна орендна плата за рік згідно</w:t>
            </w:r>
            <w:r w:rsidR="004C52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з діючими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став</w:t>
            </w:r>
            <w:r w:rsidR="004C52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ками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оренди)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0A4" w:rsidRPr="00474352" w:rsidRDefault="004C52F2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0A4" w:rsidRPr="00474352" w:rsidRDefault="0041122D" w:rsidP="0024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44ABA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00000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6876BC" w:rsidRPr="00474352" w:rsidRDefault="006876BC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6876BC" w:rsidRPr="00474352" w:rsidRDefault="0041122D" w:rsidP="0024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44ABA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00000</w:t>
            </w:r>
          </w:p>
        </w:tc>
      </w:tr>
      <w:tr w:rsidR="007550A4" w:rsidRPr="00474352" w:rsidTr="00E06A9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0A4" w:rsidRPr="00474352" w:rsidRDefault="007550A4" w:rsidP="00E0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Кількість суб'єктів господарювання та/або фізичних осіб, на яких поширюватиметься дія акту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одиниць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6BC" w:rsidRPr="00474352" w:rsidRDefault="006876BC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7550A4" w:rsidRPr="00474352" w:rsidRDefault="00244ABA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7550A4" w:rsidRPr="00474352" w:rsidRDefault="007550A4" w:rsidP="0068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6876BC" w:rsidRPr="00474352" w:rsidRDefault="0041122D" w:rsidP="0024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="00244ABA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</w:tr>
      <w:tr w:rsidR="007550A4" w:rsidRPr="00474352" w:rsidTr="004C52F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0A4" w:rsidRPr="00474352" w:rsidRDefault="007550A4" w:rsidP="00E0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Розмір коштів та час, що витрачатимуться суб'єктами господарювання та/або фізичними особами, пов'язаними з виконанням вимог акту (на ознайомлення з рішенням)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години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4" w:rsidRPr="00474352" w:rsidRDefault="00A81DC7" w:rsidP="004C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="007550A4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год</w:t>
            </w:r>
            <w:r w:rsidR="004C52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7550A4" w:rsidRPr="00474352" w:rsidRDefault="007550A4" w:rsidP="004C5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4" w:rsidRPr="00474352" w:rsidRDefault="00F71023" w:rsidP="00F7102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 год</w:t>
            </w:r>
            <w:r w:rsidR="004C52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7550A4" w:rsidRPr="00474352" w:rsidTr="00A81D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A4" w:rsidRPr="00474352" w:rsidRDefault="007550A4" w:rsidP="00A8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Рівень поінформованості суб'єктів господарювання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та/або фізичн</w:t>
            </w:r>
            <w:r w:rsidR="004C52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их осіб з основних положень акта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A4" w:rsidRPr="00474352" w:rsidRDefault="007550A4" w:rsidP="00A8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Високий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0A4" w:rsidRPr="00474352" w:rsidRDefault="007550A4" w:rsidP="00A8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100 %</w:t>
            </w:r>
          </w:p>
          <w:p w:rsidR="007550A4" w:rsidRPr="00474352" w:rsidRDefault="007550A4" w:rsidP="004C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</w:t>
            </w:r>
            <w:r w:rsidR="004C52F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кт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регуляторного акта оприлюднюється на офіційному сайті </w:t>
            </w:r>
            <w:r w:rsidR="00A81DC7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селищної ради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а після прийняття рішення в </w:t>
            </w:r>
            <w:r w:rsidR="00A81DC7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газеті «Нове життя»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100 %</w:t>
            </w:r>
          </w:p>
        </w:tc>
      </w:tr>
      <w:tr w:rsidR="007550A4" w:rsidRPr="00474352" w:rsidTr="00A81DC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A4" w:rsidRPr="00474352" w:rsidRDefault="007550A4" w:rsidP="00E0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A4" w:rsidRPr="00474352" w:rsidRDefault="007550A4" w:rsidP="00C5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Кількість нових та пролонгованих договорів оренди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uk-UA" w:eastAsia="uk-UA"/>
              </w:rPr>
              <w:t xml:space="preserve">майна комунальної власності </w:t>
            </w:r>
            <w:r w:rsidR="00C56D08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Іванівської селищної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територіальної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val="uk-UA" w:eastAsia="uk-UA"/>
              </w:rPr>
              <w:t xml:space="preserve"> громади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4" w:rsidRPr="00474352" w:rsidRDefault="007550A4" w:rsidP="00A8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0A4" w:rsidRPr="00474352" w:rsidRDefault="006876BC" w:rsidP="00D3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 поточному році </w:t>
            </w:r>
            <w:r w:rsidR="00A81DC7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Іванівською селищною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радою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пролонговува</w:t>
            </w:r>
            <w:r w:rsidR="00776E59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лось</w:t>
            </w:r>
            <w:proofErr w:type="spellEnd"/>
            <w:r w:rsidR="00776E59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32C1D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 догово</w:t>
            </w:r>
            <w:r w:rsidR="00776E59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</w:t>
            </w:r>
            <w:r w:rsidR="00D32C1D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ів</w:t>
            </w:r>
            <w:r w:rsidR="00776E59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Нові </w:t>
            </w:r>
            <w:proofErr w:type="spellStart"/>
            <w:r w:rsidR="00776E59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договора</w:t>
            </w:r>
            <w:proofErr w:type="spellEnd"/>
            <w:r w:rsidR="00776E59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оренди не укладались.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A4" w:rsidRPr="00474352" w:rsidRDefault="00776E59" w:rsidP="00D3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Планується укласти </w:t>
            </w:r>
            <w:r w:rsidR="00D32C1D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 кінця року</w:t>
            </w:r>
            <w:r w:rsidR="00D32C1D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br/>
              <w:t xml:space="preserve">5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нових договорів оренди. Продовжити </w:t>
            </w:r>
            <w:r w:rsidR="00D32C1D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5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договорів, строк дії яких закінчується у 2021 році. </w:t>
            </w:r>
          </w:p>
        </w:tc>
      </w:tr>
    </w:tbl>
    <w:p w:rsidR="005971D8" w:rsidRPr="00474352" w:rsidRDefault="005971D8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71D8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Обов’язковими показниками результативності запропонованого акта є: </w:t>
      </w:r>
    </w:p>
    <w:p w:rsidR="005971D8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розмір надходжень до </w:t>
      </w:r>
      <w:r w:rsidR="00A726A3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селищного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бюджету;</w:t>
      </w:r>
    </w:p>
    <w:p w:rsidR="005971D8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кількість суб’єктів господарювання та/або фізичних осіб, на яких поширюватиметься дія акта;</w:t>
      </w:r>
    </w:p>
    <w:p w:rsidR="005971D8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розмір коштів, що витрачаються суб’єктами господарювання та/або фізичними особами, пов’язаними з виконанням вимог акта; </w:t>
      </w:r>
    </w:p>
    <w:p w:rsidR="005971D8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час, що витрачається суб’єктами господарювання та/або фізичними особами, пов’язаними з виконанням вимог акта;</w:t>
      </w:r>
    </w:p>
    <w:p w:rsidR="005971D8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рівень поінформованості суб’єктів господарювання та/або фізичних осіб стосовно основних положень регуляторного акта. </w:t>
      </w:r>
    </w:p>
    <w:p w:rsidR="005971D8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Зміни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пропонуються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поширюватимуться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орендарі</w:t>
      </w:r>
      <w:proofErr w:type="gramStart"/>
      <w:r w:rsidRPr="00474352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4352">
        <w:rPr>
          <w:rFonts w:ascii="Times New Roman" w:hAnsi="Times New Roman" w:cs="Times New Roman"/>
          <w:sz w:val="26"/>
          <w:szCs w:val="26"/>
        </w:rPr>
        <w:t>та</w:t>
      </w:r>
      <w:proofErr w:type="gram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орендодавців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r w:rsidR="004D461B" w:rsidRPr="00474352">
        <w:rPr>
          <w:rFonts w:ascii="Times New Roman" w:hAnsi="Times New Roman" w:cs="Times New Roman"/>
          <w:sz w:val="26"/>
          <w:szCs w:val="26"/>
          <w:lang w:val="uk-UA"/>
        </w:rPr>
        <w:t>комунальног</w:t>
      </w:r>
      <w:r w:rsidR="00D32C1D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о </w:t>
      </w:r>
      <w:r w:rsidRPr="00474352">
        <w:rPr>
          <w:rFonts w:ascii="Times New Roman" w:hAnsi="Times New Roman" w:cs="Times New Roman"/>
          <w:sz w:val="26"/>
          <w:szCs w:val="26"/>
        </w:rPr>
        <w:t xml:space="preserve"> майна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всіх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</w:rPr>
        <w:t>організаційно-правових</w:t>
      </w:r>
      <w:proofErr w:type="spellEnd"/>
      <w:r w:rsidRPr="00474352">
        <w:rPr>
          <w:rFonts w:ascii="Times New Roman" w:hAnsi="Times New Roman" w:cs="Times New Roman"/>
          <w:sz w:val="26"/>
          <w:szCs w:val="26"/>
        </w:rPr>
        <w:t xml:space="preserve"> форм.</w:t>
      </w:r>
    </w:p>
    <w:p w:rsidR="005971D8" w:rsidRPr="00474352" w:rsidRDefault="00E02821" w:rsidP="00AA3E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74352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5971D8" w:rsidRPr="00474352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>кт</w:t>
      </w:r>
      <w:proofErr w:type="spellEnd"/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71D8" w:rsidRPr="00474352">
        <w:rPr>
          <w:rFonts w:ascii="Times New Roman" w:hAnsi="Times New Roman" w:cs="Times New Roman"/>
          <w:sz w:val="26"/>
          <w:szCs w:val="26"/>
          <w:lang w:val="uk-UA"/>
        </w:rPr>
        <w:t>рішення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 було оприлюднено з метою обговорення та отримання від суб'єктів господарювання зауважень та пропозицій. </w:t>
      </w:r>
    </w:p>
    <w:p w:rsidR="005971D8" w:rsidRPr="00474352" w:rsidRDefault="005971D8" w:rsidP="005971D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971D8" w:rsidRPr="00474352" w:rsidRDefault="00E02821" w:rsidP="005971D8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b/>
          <w:sz w:val="26"/>
          <w:szCs w:val="26"/>
        </w:rPr>
        <w:t xml:space="preserve">IX.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Визначення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заході</w:t>
      </w:r>
      <w:proofErr w:type="gramStart"/>
      <w:r w:rsidRPr="00474352">
        <w:rPr>
          <w:rFonts w:ascii="Times New Roman" w:hAnsi="Times New Roman" w:cs="Times New Roman"/>
          <w:b/>
          <w:sz w:val="26"/>
          <w:szCs w:val="26"/>
        </w:rPr>
        <w:t>в</w:t>
      </w:r>
      <w:proofErr w:type="spellEnd"/>
      <w:proofErr w:type="gram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, за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допомогою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яких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здійснюватиметься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відстеження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результативності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74352">
        <w:rPr>
          <w:rFonts w:ascii="Times New Roman" w:hAnsi="Times New Roman" w:cs="Times New Roman"/>
          <w:b/>
          <w:sz w:val="26"/>
          <w:szCs w:val="26"/>
        </w:rPr>
        <w:t>дії</w:t>
      </w:r>
      <w:proofErr w:type="spellEnd"/>
      <w:r w:rsidRPr="00474352">
        <w:rPr>
          <w:rFonts w:ascii="Times New Roman" w:hAnsi="Times New Roman" w:cs="Times New Roman"/>
          <w:b/>
          <w:sz w:val="26"/>
          <w:szCs w:val="26"/>
        </w:rPr>
        <w:t xml:space="preserve"> регуляторного акта</w:t>
      </w:r>
    </w:p>
    <w:p w:rsidR="007550A4" w:rsidRPr="00474352" w:rsidRDefault="007550A4" w:rsidP="007550A4">
      <w:pPr>
        <w:pStyle w:val="a7"/>
        <w:shd w:val="clear" w:color="auto" w:fill="FFFFFF"/>
        <w:spacing w:before="120" w:after="0" w:line="240" w:lineRule="auto"/>
        <w:ind w:left="0" w:firstLine="567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Базове, повторне та періодичне відстеження результативності цього регуляторного акта здійснюватиметься відповідно до вимог статті 10 Закону України «Про засади державної регуляторної політики у сфері господарської діяльності» та Методики відстеження результативності регуляторного акта, затвердженої постановою Кабінету Міністрів України від 11.03.2004 № 308 «Про затвердження методик проведення аналізу впливу та відстеження результативності регуляторного </w:t>
      </w:r>
      <w:r w:rsidRPr="00474352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акта» (із змінами від 16.12.2015 № 1151) та оприлю</w:t>
      </w:r>
      <w:r w:rsidR="00A726A3" w:rsidRPr="0047435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днюватиметься на офіційному </w:t>
      </w:r>
      <w:proofErr w:type="spellStart"/>
      <w:r w:rsidR="00A726A3" w:rsidRPr="00474352">
        <w:rPr>
          <w:rFonts w:ascii="Times New Roman" w:eastAsia="Calibri" w:hAnsi="Times New Roman" w:cs="Times New Roman"/>
          <w:sz w:val="26"/>
          <w:szCs w:val="26"/>
          <w:lang w:val="uk-UA"/>
        </w:rPr>
        <w:t>веб</w:t>
      </w:r>
      <w:r w:rsidRPr="00474352">
        <w:rPr>
          <w:rFonts w:ascii="Times New Roman" w:eastAsia="Calibri" w:hAnsi="Times New Roman" w:cs="Times New Roman"/>
          <w:sz w:val="26"/>
          <w:szCs w:val="26"/>
          <w:lang w:val="uk-UA"/>
        </w:rPr>
        <w:t>сайті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726A3" w:rsidRPr="00474352">
        <w:rPr>
          <w:rFonts w:ascii="Times New Roman" w:eastAsia="Calibri" w:hAnsi="Times New Roman" w:cs="Times New Roman"/>
          <w:sz w:val="26"/>
          <w:szCs w:val="26"/>
          <w:lang w:val="uk-UA"/>
        </w:rPr>
        <w:t>Іванівської селищної</w:t>
      </w:r>
      <w:r w:rsidRPr="0047435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ради.</w:t>
      </w:r>
    </w:p>
    <w:p w:rsidR="007550A4" w:rsidRPr="00474352" w:rsidRDefault="007550A4" w:rsidP="007550A4">
      <w:pPr>
        <w:pStyle w:val="a7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val="uk-UA"/>
        </w:rPr>
      </w:pP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Базове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відстеження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результативності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, регуляторного акта буде</w:t>
      </w:r>
      <w:r w:rsidRPr="00474352">
        <w:rPr>
          <w:rFonts w:ascii="Times New Roman" w:eastAsia="Calibri" w:hAnsi="Times New Roman" w:cs="Times New Roman"/>
          <w:iCs/>
          <w:sz w:val="26"/>
          <w:szCs w:val="26"/>
          <w:lang w:val="uk-UA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проводитись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шляхом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здійснення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аналізу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статистичних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даних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за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основними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показниками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результативності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акта</w:t>
      </w:r>
      <w:r w:rsidR="00A726A3" w:rsidRPr="00474352">
        <w:rPr>
          <w:rFonts w:ascii="Times New Roman" w:eastAsia="Calibri" w:hAnsi="Times New Roman" w:cs="Times New Roman"/>
          <w:iCs/>
          <w:sz w:val="26"/>
          <w:szCs w:val="26"/>
          <w:lang w:val="uk-UA"/>
        </w:rPr>
        <w:t xml:space="preserve"> до набрання чинності регуляторного акта</w:t>
      </w:r>
      <w:r w:rsidRPr="00474352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7550A4" w:rsidRPr="00474352" w:rsidRDefault="007550A4" w:rsidP="007550A4">
      <w:pPr>
        <w:pStyle w:val="a7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Повторне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відстеження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результативності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регуляторного акта буде проведено через </w:t>
      </w:r>
      <w:proofErr w:type="spellStart"/>
      <w:proofErr w:type="gram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р</w:t>
      </w:r>
      <w:proofErr w:type="gram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ік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після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набуття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чинності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регуляторного акта.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Установлені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кількісні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та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якісні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значення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показників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результативності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акта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порівнюються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із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значеннями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аналогічних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показників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що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встановлені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proofErr w:type="gram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</w:t>
      </w:r>
      <w:proofErr w:type="gram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ід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час базового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відстеження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  <w:lang w:val="uk-UA"/>
        </w:rPr>
        <w:t xml:space="preserve"> </w:t>
      </w:r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та у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разі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виявлення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неврегульованих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та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проблемних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питань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буде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розглядатись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можливість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їх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виправлення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шляхом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внесення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відповідних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змін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</w:p>
    <w:p w:rsidR="007550A4" w:rsidRPr="00474352" w:rsidRDefault="007550A4" w:rsidP="007550A4">
      <w:pPr>
        <w:pStyle w:val="a7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val="uk-UA"/>
        </w:rPr>
      </w:pP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Періодичне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відстеження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результативності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регуляторного акта буде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проводитись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раз на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кожні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три роки,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починаючи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з дня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закінчення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заходів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з повторного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відстеження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результативності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цього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акта шляхом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порівняння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установлених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кількісних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значень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показників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результативності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акта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із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значеннями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аналогічних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показників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що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встановлені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proofErr w:type="gram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п</w:t>
      </w:r>
      <w:proofErr w:type="gram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ід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 xml:space="preserve"> час повторного </w:t>
      </w:r>
      <w:proofErr w:type="spellStart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відстеження</w:t>
      </w:r>
      <w:proofErr w:type="spellEnd"/>
      <w:r w:rsidRPr="00474352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5971D8" w:rsidRPr="00474352" w:rsidRDefault="005971D8" w:rsidP="00F175C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50A4" w:rsidRPr="00474352" w:rsidRDefault="00A726A3" w:rsidP="00A726A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Іванівський селищний голова </w:t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474352">
        <w:rPr>
          <w:rFonts w:ascii="Times New Roman" w:hAnsi="Times New Roman" w:cs="Times New Roman"/>
          <w:sz w:val="26"/>
          <w:szCs w:val="26"/>
          <w:lang w:val="uk-UA"/>
        </w:rPr>
        <w:tab/>
        <w:t>Віктор ДЕБЕЛИЙ</w:t>
      </w: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0A4" w:rsidRPr="00474352" w:rsidRDefault="007550A4" w:rsidP="00AA3E9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F4D32" w:rsidRPr="00474352" w:rsidRDefault="000F4D32" w:rsidP="00D32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4C52F2" w:rsidRDefault="004C52F2" w:rsidP="00A726A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C52F2" w:rsidRDefault="004C52F2" w:rsidP="00A726A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C52F2" w:rsidRDefault="004C52F2" w:rsidP="00A726A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C52F2" w:rsidRDefault="004C52F2" w:rsidP="00A726A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C52F2" w:rsidRDefault="004C52F2" w:rsidP="00A726A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C52F2" w:rsidRDefault="004C52F2" w:rsidP="00A726A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C52F2" w:rsidRDefault="004C52F2" w:rsidP="00A726A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C52F2" w:rsidRDefault="004C52F2" w:rsidP="00A726A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17658" w:rsidRPr="00474352" w:rsidRDefault="00A726A3" w:rsidP="00A726A3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Додаток 4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br/>
        <w:t>до Методики проведення аналізу впливу регуляторного акта</w:t>
      </w:r>
    </w:p>
    <w:p w:rsidR="007550A4" w:rsidRPr="00474352" w:rsidRDefault="007550A4" w:rsidP="0075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550A4" w:rsidRPr="00474352" w:rsidRDefault="007550A4" w:rsidP="0075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ТЕСТ малого підприємництва (М-Тест)</w:t>
      </w:r>
    </w:p>
    <w:p w:rsidR="007550A4" w:rsidRPr="00474352" w:rsidRDefault="007550A4" w:rsidP="007550A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Консультації</w:t>
      </w:r>
      <w:proofErr w:type="spellEnd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 </w:t>
      </w: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представниками</w:t>
      </w:r>
      <w:proofErr w:type="spellEnd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мікро</w:t>
      </w:r>
      <w:proofErr w:type="spellEnd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та малого </w:t>
      </w:r>
      <w:proofErr w:type="spellStart"/>
      <w:proofErr w:type="gram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ідприємництва</w:t>
      </w:r>
      <w:proofErr w:type="spellEnd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щодо</w:t>
      </w:r>
      <w:proofErr w:type="spellEnd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оцінки</w:t>
      </w:r>
      <w:proofErr w:type="spellEnd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впливу</w:t>
      </w:r>
      <w:proofErr w:type="spellEnd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регулювання</w:t>
      </w:r>
      <w:proofErr w:type="spellEnd"/>
    </w:p>
    <w:p w:rsidR="007550A4" w:rsidRPr="00474352" w:rsidRDefault="007550A4" w:rsidP="009A5F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ab/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Консультації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щодо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визначення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впливу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запропонованого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регулювання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суб’єктів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малого </w:t>
      </w:r>
      <w:proofErr w:type="spellStart"/>
      <w:proofErr w:type="gramStart"/>
      <w:r w:rsidRPr="00474352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474352">
        <w:rPr>
          <w:rFonts w:ascii="Times New Roman" w:eastAsia="Times New Roman" w:hAnsi="Times New Roman" w:cs="Times New Roman"/>
          <w:sz w:val="26"/>
          <w:szCs w:val="26"/>
        </w:rPr>
        <w:t>ідприємництва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визначення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детального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переліку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процедур,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виконання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яких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необхідно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здійснення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регулювання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, проведено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розробником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у </w:t>
      </w:r>
      <w:proofErr w:type="spellStart"/>
      <w:r w:rsidRPr="00474352">
        <w:rPr>
          <w:rFonts w:ascii="Times New Roman" w:eastAsia="Times New Roman" w:hAnsi="Times New Roman" w:cs="Times New Roman"/>
          <w:sz w:val="26"/>
          <w:szCs w:val="26"/>
        </w:rPr>
        <w:t>період</w:t>
      </w:r>
      <w:proofErr w:type="spellEnd"/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з </w:t>
      </w:r>
      <w:r w:rsidR="00A726A3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0</w:t>
      </w:r>
      <w:r w:rsidR="004C52F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1 липня </w:t>
      </w:r>
      <w:r w:rsidRPr="00474352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F4D32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A726A3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Pr="00474352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4C52F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03 серпня </w:t>
      </w:r>
      <w:r w:rsidRPr="00474352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F4D32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A726A3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1</w:t>
      </w:r>
      <w:r w:rsidR="000F4D32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року.</w:t>
      </w:r>
    </w:p>
    <w:p w:rsidR="00A726A3" w:rsidRPr="00474352" w:rsidRDefault="00A726A3" w:rsidP="009A5F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4"/>
        <w:gridCol w:w="4072"/>
        <w:gridCol w:w="1658"/>
        <w:gridCol w:w="2572"/>
      </w:tblGrid>
      <w:tr w:rsidR="00A726A3" w:rsidRPr="00474352" w:rsidTr="00A726A3">
        <w:trPr>
          <w:tblCellSpacing w:w="22" w:type="dxa"/>
        </w:trPr>
        <w:tc>
          <w:tcPr>
            <w:tcW w:w="704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Порядковий номер</w:t>
            </w:r>
          </w:p>
        </w:tc>
        <w:tc>
          <w:tcPr>
            <w:tcW w:w="2095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Вид консультації (публічні консультації прямі (круглі столи, наради, робочі зустрічі тощо),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інтернет-консультації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прямі (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інтернет-форуми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соціальні мережі тощо), запити (до підприємців, експертів, науковців тощо)</w:t>
            </w:r>
          </w:p>
        </w:tc>
        <w:tc>
          <w:tcPr>
            <w:tcW w:w="767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Кількість учасників консультацій, осіб</w:t>
            </w:r>
          </w:p>
        </w:tc>
        <w:tc>
          <w:tcPr>
            <w:tcW w:w="1319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Основні результати консультацій (опис)</w:t>
            </w:r>
          </w:p>
        </w:tc>
      </w:tr>
      <w:tr w:rsidR="00A726A3" w:rsidRPr="00474352" w:rsidTr="00A726A3">
        <w:trPr>
          <w:tblCellSpacing w:w="22" w:type="dxa"/>
        </w:trPr>
        <w:tc>
          <w:tcPr>
            <w:tcW w:w="704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095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Робочі зустрічі</w:t>
            </w:r>
          </w:p>
        </w:tc>
        <w:tc>
          <w:tcPr>
            <w:tcW w:w="767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319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Отримання інформації та пропозицій, </w:t>
            </w:r>
            <w:r w:rsidRPr="00474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забезпечення принципу прозорості, визначення та затвердження процедур, що застосовуються суб’єктами господарювання</w:t>
            </w:r>
          </w:p>
        </w:tc>
      </w:tr>
      <w:tr w:rsidR="00A726A3" w:rsidRPr="00474352" w:rsidTr="00A726A3">
        <w:trPr>
          <w:tblCellSpacing w:w="22" w:type="dxa"/>
        </w:trPr>
        <w:tc>
          <w:tcPr>
            <w:tcW w:w="704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095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Засідання постійної комісії з питань комунальної власності, житлово-комунального господарства, енергозбереження та транспорту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767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319" w:type="pct"/>
          </w:tcPr>
          <w:p w:rsidR="00A726A3" w:rsidRPr="00474352" w:rsidRDefault="00A726A3" w:rsidP="00A7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Отримання інформації</w:t>
            </w:r>
          </w:p>
          <w:p w:rsidR="00A726A3" w:rsidRPr="00474352" w:rsidRDefault="00A726A3" w:rsidP="00A7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та пропозицій</w:t>
            </w:r>
          </w:p>
        </w:tc>
      </w:tr>
      <w:tr w:rsidR="00A726A3" w:rsidRPr="00474352" w:rsidTr="00A726A3">
        <w:trPr>
          <w:tblCellSpacing w:w="22" w:type="dxa"/>
        </w:trPr>
        <w:tc>
          <w:tcPr>
            <w:tcW w:w="704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095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 телефонному та усному режимі</w:t>
            </w:r>
          </w:p>
        </w:tc>
        <w:tc>
          <w:tcPr>
            <w:tcW w:w="767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1319" w:type="pct"/>
          </w:tcPr>
          <w:p w:rsidR="00A726A3" w:rsidRPr="00474352" w:rsidRDefault="00A726A3" w:rsidP="00A726A3">
            <w:pPr>
              <w:spacing w:before="100" w:beforeAutospacing="1" w:after="100" w:afterAutospacing="1" w:line="240" w:lineRule="auto"/>
              <w:ind w:left="561"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Отримання інформації та пропозицій</w:t>
            </w:r>
          </w:p>
        </w:tc>
      </w:tr>
    </w:tbl>
    <w:p w:rsidR="00A726A3" w:rsidRPr="00474352" w:rsidRDefault="00A726A3" w:rsidP="009A5F9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550A4" w:rsidRPr="00474352" w:rsidRDefault="007550A4" w:rsidP="007550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Вимірювання впливу регулювання на суб’єктів малого підприємництва (</w:t>
      </w:r>
      <w:proofErr w:type="spellStart"/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мікро</w:t>
      </w:r>
      <w:proofErr w:type="spellEnd"/>
      <w:r w:rsidR="009E3317" w:rsidRPr="00474352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- та малі):</w:t>
      </w:r>
    </w:p>
    <w:p w:rsidR="007550A4" w:rsidRPr="00474352" w:rsidRDefault="007550A4" w:rsidP="00755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Кількість суб’єктів малого підприємництва, на яких </w:t>
      </w:r>
      <w:r w:rsidR="00546F9C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поширюватиметься  регулювання: </w:t>
      </w:r>
      <w:r w:rsidR="00244ABA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46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одиниць. </w:t>
      </w:r>
    </w:p>
    <w:p w:rsidR="00546F9C" w:rsidRPr="00474352" w:rsidRDefault="007550A4" w:rsidP="009A5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Питома вага суб’єктів малого підприємництва у загальній кількості суб’єктів господарювання, на яких проблема справляє вплив 100% (відсотків). </w:t>
      </w:r>
    </w:p>
    <w:p w:rsidR="007550A4" w:rsidRPr="00474352" w:rsidRDefault="00C223DE" w:rsidP="00C22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3. </w:t>
      </w:r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Розрахунок витрат суб’єктів малого підприємництва на виконання вимог регулювання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3961"/>
        <w:gridCol w:w="198"/>
        <w:gridCol w:w="1513"/>
        <w:gridCol w:w="162"/>
        <w:gridCol w:w="1343"/>
        <w:gridCol w:w="113"/>
        <w:gridCol w:w="1255"/>
      </w:tblGrid>
      <w:tr w:rsidR="007550A4" w:rsidRPr="00474352" w:rsidTr="004C52F2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Порядковий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номер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Найменування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оцінки</w:t>
            </w:r>
            <w:proofErr w:type="spellEnd"/>
          </w:p>
        </w:tc>
        <w:tc>
          <w:tcPr>
            <w:tcW w:w="7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50A4" w:rsidRPr="00474352" w:rsidRDefault="007550A4" w:rsidP="004C5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 перший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ік</w:t>
            </w:r>
            <w:proofErr w:type="spellEnd"/>
          </w:p>
          <w:p w:rsidR="007550A4" w:rsidRPr="00474352" w:rsidRDefault="007550A4" w:rsidP="004C5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стартовий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ік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впровадження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регулювання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  <w:p w:rsidR="009B6984" w:rsidRPr="00474352" w:rsidRDefault="009B6984" w:rsidP="004C5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2021</w:t>
            </w:r>
            <w:r w:rsidR="00475EAA"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7550A4" w:rsidP="004C5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Періодичні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(за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наступний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ік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  <w:p w:rsidR="009B6984" w:rsidRPr="00474352" w:rsidRDefault="009B6984" w:rsidP="004C52F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550A4" w:rsidRPr="00474352" w:rsidRDefault="007550A4" w:rsidP="004C52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9B6984" w:rsidRPr="00474352" w:rsidRDefault="009B6984" w:rsidP="004C52F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2022 рік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550A4" w:rsidRPr="00474352" w:rsidRDefault="007550A4" w:rsidP="004C5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Витрати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за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п’ять</w:t>
            </w:r>
            <w:proofErr w:type="spellEnd"/>
            <w:proofErr w:type="gram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років</w:t>
            </w:r>
            <w:proofErr w:type="spellEnd"/>
          </w:p>
        </w:tc>
      </w:tr>
      <w:tr w:rsidR="007550A4" w:rsidRPr="00474352" w:rsidTr="009B6984">
        <w:tc>
          <w:tcPr>
            <w:tcW w:w="5000" w:type="pct"/>
            <w:gridSpan w:val="8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Оцінка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прямих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»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витрат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суб’єктів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малого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ідприємництва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на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виконання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регулювання</w:t>
            </w:r>
            <w:proofErr w:type="spellEnd"/>
          </w:p>
        </w:tc>
      </w:tr>
      <w:tr w:rsidR="007550A4" w:rsidRPr="00474352" w:rsidTr="00474352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Придбання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необхідного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обладнання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пристрої</w:t>
            </w:r>
            <w:proofErr w:type="gram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машин,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механізмів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550A4" w:rsidRPr="00474352" w:rsidTr="00474352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повірки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та/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постановки на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відповідний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обл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ік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визначеному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державної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чи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місцевого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самоврядування</w:t>
            </w:r>
            <w:proofErr w:type="spellEnd"/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550A4" w:rsidRPr="00474352" w:rsidTr="00474352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експлуатації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обладнання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експлуатаційні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витрати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витратні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матеріали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550A4" w:rsidRPr="00474352" w:rsidTr="00474352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обслуговування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обладнання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техн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ічне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обслуговування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550A4" w:rsidRPr="00474352" w:rsidTr="00474352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Інші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550A4" w:rsidRPr="00474352" w:rsidRDefault="007550A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Сплата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орендної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плати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відповідно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до Методики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розрахунку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орендної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плати</w:t>
            </w:r>
            <w:r w:rsidR="00B51948" w:rsidRPr="0047435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(в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середньому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залежно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орендованої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площі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цільового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>призначення</w:t>
            </w:r>
            <w:proofErr w:type="spellEnd"/>
            <w:r w:rsidRPr="00474352">
              <w:rPr>
                <w:rFonts w:ascii="Times New Roman" w:hAnsi="Times New Roman" w:cs="Times New Roman"/>
                <w:sz w:val="26"/>
                <w:szCs w:val="26"/>
              </w:rPr>
              <w:t xml:space="preserve"> майна)*</w:t>
            </w:r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475EAA" w:rsidP="0024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44ABA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00000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50A4" w:rsidRPr="00474352" w:rsidRDefault="00475EAA" w:rsidP="0024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44ABA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00000</w:t>
            </w:r>
          </w:p>
        </w:tc>
        <w:tc>
          <w:tcPr>
            <w:tcW w:w="6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50A4" w:rsidRPr="00474352" w:rsidRDefault="00475EAA" w:rsidP="0024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  <w:r w:rsidR="00244ABA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00000</w:t>
            </w:r>
          </w:p>
        </w:tc>
      </w:tr>
      <w:tr w:rsidR="007550A4" w:rsidRPr="00474352" w:rsidTr="00474352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Разом,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гривень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743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Формула: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743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(сума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рядків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1 + 2 + 3 + 4 + 5)</w:t>
            </w:r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244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</w:t>
            </w:r>
            <w:r w:rsidR="00475EAA"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244ABA"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475EAA"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00000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50A4" w:rsidRPr="00474352" w:rsidRDefault="00475EAA" w:rsidP="0024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244ABA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00000</w:t>
            </w:r>
          </w:p>
        </w:tc>
        <w:tc>
          <w:tcPr>
            <w:tcW w:w="6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50A4" w:rsidRPr="00474352" w:rsidRDefault="00475EAA" w:rsidP="0024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 w:rsidR="00244ABA"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00000</w:t>
            </w:r>
          </w:p>
        </w:tc>
      </w:tr>
      <w:tr w:rsidR="007550A4" w:rsidRPr="00474352" w:rsidTr="00474352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Кількість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суб’єктів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господарювання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повинні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виконати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вимоги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одиниць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залежить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кількості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звернень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D32C1D" w:rsidP="00244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4</w:t>
            </w:r>
            <w:r w:rsidR="00244ABA"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50A4" w:rsidRPr="00474352" w:rsidRDefault="009E3317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51*</w:t>
            </w:r>
          </w:p>
        </w:tc>
        <w:tc>
          <w:tcPr>
            <w:tcW w:w="6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50A4" w:rsidRPr="00474352" w:rsidRDefault="009E3317" w:rsidP="009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59*</w:t>
            </w:r>
          </w:p>
        </w:tc>
      </w:tr>
      <w:tr w:rsidR="007550A4" w:rsidRPr="00474352" w:rsidTr="00474352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105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Сумарно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гривень</w:t>
            </w:r>
            <w:proofErr w:type="spellEnd"/>
          </w:p>
        </w:tc>
        <w:tc>
          <w:tcPr>
            <w:tcW w:w="848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244ABA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26086,9</w:t>
            </w:r>
          </w:p>
        </w:tc>
        <w:tc>
          <w:tcPr>
            <w:tcW w:w="737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50A4" w:rsidRPr="00474352" w:rsidRDefault="009E3317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27450,9</w:t>
            </w:r>
          </w:p>
        </w:tc>
        <w:tc>
          <w:tcPr>
            <w:tcW w:w="6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50A4" w:rsidRPr="00474352" w:rsidRDefault="009E3317" w:rsidP="0047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115254</w:t>
            </w:r>
          </w:p>
        </w:tc>
      </w:tr>
      <w:tr w:rsidR="007550A4" w:rsidRPr="00474352" w:rsidTr="009B6984">
        <w:tc>
          <w:tcPr>
            <w:tcW w:w="5000" w:type="pct"/>
            <w:gridSpan w:val="8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Оцінка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вартості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іністративних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процедур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суб’єктів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малого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підприємництва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щодо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виконання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регулювання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та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звітування</w:t>
            </w:r>
            <w:proofErr w:type="spellEnd"/>
          </w:p>
          <w:p w:rsidR="00B51948" w:rsidRPr="00474352" w:rsidRDefault="00B51948" w:rsidP="00B51948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 w:rsidRPr="0047435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 w:eastAsia="en-US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  <w:p w:rsidR="00B51948" w:rsidRPr="00474352" w:rsidRDefault="00B51948" w:rsidP="00B519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Розрахунок</w:t>
            </w:r>
            <w:proofErr w:type="spellEnd"/>
            <w:r w:rsidRPr="004743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вартості</w:t>
            </w:r>
            <w:proofErr w:type="spellEnd"/>
            <w:r w:rsidRPr="004743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1 </w:t>
            </w:r>
            <w:proofErr w:type="spellStart"/>
            <w:r w:rsidRPr="004743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людино-години</w:t>
            </w:r>
            <w:proofErr w:type="spellEnd"/>
            <w:r w:rsidRPr="00474352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: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51948" w:rsidRPr="00474352" w:rsidRDefault="00B51948" w:rsidP="00B519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Норма </w:t>
            </w:r>
            <w:proofErr w:type="spellStart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>робочого</w:t>
            </w:r>
            <w:proofErr w:type="spellEnd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часу на 20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21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>ік</w:t>
            </w:r>
            <w:proofErr w:type="spellEnd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становить при 40-годинному </w:t>
            </w:r>
            <w:proofErr w:type="spellStart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>робочому</w:t>
            </w:r>
            <w:proofErr w:type="spellEnd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>тижні</w:t>
            </w:r>
            <w:proofErr w:type="spellEnd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</w:t>
            </w:r>
            <w:r w:rsidR="004C52F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br/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1987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годин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</w:t>
            </w:r>
            <w:proofErr w:type="spellStart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>розрахунку</w:t>
            </w:r>
            <w:proofErr w:type="spellEnd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>використовується</w:t>
            </w:r>
            <w:proofErr w:type="spellEnd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74352">
              <w:rPr>
                <w:rFonts w:ascii="Times New Roman" w:eastAsia="Calibri" w:hAnsi="Times New Roman" w:cs="Times New Roman"/>
                <w:spacing w:val="-2"/>
                <w:sz w:val="26"/>
                <w:szCs w:val="26"/>
                <w:lang w:val="uk-UA" w:eastAsia="en-US"/>
              </w:rPr>
              <w:t>орієнтований мінімальний розмір заробітної плати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>що</w:t>
            </w:r>
            <w:proofErr w:type="spellEnd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 20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21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>році</w:t>
            </w:r>
            <w:proofErr w:type="spellEnd"/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становить 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6000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грн. </w:t>
            </w:r>
          </w:p>
          <w:p w:rsidR="00B51948" w:rsidRPr="00474352" w:rsidRDefault="00B51948" w:rsidP="00B51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47435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Середнє значення робочих годин на місяць: </w:t>
            </w:r>
          </w:p>
          <w:p w:rsidR="00B51948" w:rsidRPr="00474352" w:rsidRDefault="00B51948" w:rsidP="00B51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47435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1987/12=166 год. </w:t>
            </w:r>
          </w:p>
          <w:p w:rsidR="00B51948" w:rsidRPr="00474352" w:rsidRDefault="00B51948" w:rsidP="00B51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47435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Розрахунок вартості 1 робочого часу суб’єкта малого підприємництва: </w:t>
            </w:r>
          </w:p>
          <w:p w:rsidR="00B51948" w:rsidRPr="00474352" w:rsidRDefault="00B51948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 xml:space="preserve">6000 </w:t>
            </w:r>
            <w:proofErr w:type="spellStart"/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грн</w:t>
            </w:r>
            <w:proofErr w:type="spellEnd"/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: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166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=</w:t>
            </w:r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 xml:space="preserve">36,14 </w:t>
            </w:r>
            <w:proofErr w:type="spellStart"/>
            <w:r w:rsidRPr="0047435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грн</w:t>
            </w:r>
            <w:proofErr w:type="spellEnd"/>
          </w:p>
        </w:tc>
      </w:tr>
      <w:tr w:rsidR="009B6984" w:rsidRPr="00474352" w:rsidTr="009E3317">
        <w:trPr>
          <w:trHeight w:val="1097"/>
        </w:trPr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отримання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первинної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інформації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вимоги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год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*36,14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грн=</w:t>
            </w:r>
            <w:proofErr w:type="spellEnd"/>
          </w:p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36,14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9B6984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год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*36,14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грн=</w:t>
            </w:r>
            <w:proofErr w:type="spellEnd"/>
          </w:p>
          <w:p w:rsidR="009B6984" w:rsidRPr="00474352" w:rsidRDefault="009B6984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36,14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157327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год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*36,14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грн=</w:t>
            </w:r>
            <w:proofErr w:type="spellEnd"/>
          </w:p>
          <w:p w:rsidR="009B6984" w:rsidRPr="00474352" w:rsidRDefault="009B6984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36,14</w:t>
            </w:r>
          </w:p>
        </w:tc>
      </w:tr>
      <w:tr w:rsidR="009B6984" w:rsidRPr="00474352" w:rsidTr="009E3317">
        <w:trPr>
          <w:trHeight w:val="949"/>
        </w:trPr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організації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вимог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1год * 36,11грн=</w:t>
            </w:r>
          </w:p>
          <w:p w:rsidR="009B6984" w:rsidRPr="00474352" w:rsidRDefault="009B6984" w:rsidP="009B6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36,14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1год * 36,11грн=</w:t>
            </w:r>
          </w:p>
          <w:p w:rsidR="009B6984" w:rsidRPr="00474352" w:rsidRDefault="009B6984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36,1</w:t>
            </w:r>
            <w:r w:rsidR="009E3317"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1год * 36,11грн=</w:t>
            </w:r>
          </w:p>
          <w:p w:rsidR="009B6984" w:rsidRPr="00474352" w:rsidRDefault="009B6984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36,14</w:t>
            </w:r>
          </w:p>
        </w:tc>
      </w:tr>
      <w:tr w:rsidR="009B6984" w:rsidRPr="00474352" w:rsidTr="009B6984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офіційного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звітування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984" w:rsidRPr="00474352" w:rsidRDefault="009B698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B6984" w:rsidRPr="00474352" w:rsidTr="009B6984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процесу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ірок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984" w:rsidRPr="00474352" w:rsidRDefault="009B698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B6984" w:rsidRPr="00474352" w:rsidTr="009E3317">
        <w:trPr>
          <w:trHeight w:val="846"/>
        </w:trPr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Інші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процедури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витрати на оборотні активи: матеріали, канцелярські товари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984" w:rsidRPr="00474352" w:rsidRDefault="009B698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B6984" w:rsidRPr="00474352" w:rsidTr="009B6984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Разом,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гривень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4743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(сума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рядків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9 + 10 + 11 + 12)</w:t>
            </w:r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72,28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E3317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72,28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984" w:rsidRPr="00474352" w:rsidRDefault="009E3317" w:rsidP="009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72,28</w:t>
            </w:r>
          </w:p>
        </w:tc>
      </w:tr>
      <w:tr w:rsidR="009B6984" w:rsidRPr="00474352" w:rsidTr="009E3317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Кількість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суб’єктів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малого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ідприємництва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повинні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виконати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вимоги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одиниць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9E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9E3317"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E3317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E3317" w:rsidP="009E3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59</w:t>
            </w:r>
          </w:p>
        </w:tc>
      </w:tr>
      <w:tr w:rsidR="009B6984" w:rsidRPr="00474352" w:rsidTr="009B6984">
        <w:tc>
          <w:tcPr>
            <w:tcW w:w="6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0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Сумарно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гривень</w:t>
            </w:r>
            <w:proofErr w:type="spellEnd"/>
          </w:p>
        </w:tc>
        <w:tc>
          <w:tcPr>
            <w:tcW w:w="866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B6984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3541,72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76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6984" w:rsidRPr="00474352" w:rsidRDefault="009E3317" w:rsidP="00B5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3686,28</w:t>
            </w:r>
          </w:p>
        </w:tc>
        <w:tc>
          <w:tcPr>
            <w:tcW w:w="692" w:type="pct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B6984" w:rsidRPr="00474352" w:rsidRDefault="009E3317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4264,52</w:t>
            </w:r>
          </w:p>
        </w:tc>
      </w:tr>
    </w:tbl>
    <w:p w:rsidR="00B51948" w:rsidRPr="00474352" w:rsidRDefault="00B51948" w:rsidP="0075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7550A4" w:rsidRPr="00474352" w:rsidRDefault="007550A4" w:rsidP="00433E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lastRenderedPageBreak/>
        <w:t>Бюджетні витрати на адміністрування регулювання для суб’єктів малого підприємництва</w:t>
      </w:r>
    </w:p>
    <w:p w:rsidR="009E3317" w:rsidRPr="00474352" w:rsidRDefault="009E3317" w:rsidP="009E3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uk-UA" w:eastAsia="en-US"/>
        </w:rPr>
      </w:pPr>
      <w:r w:rsidRPr="0047435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Бюджетні витрати на адміністрування регулювання суб`єктів господарювання малого підприємництва не підлягають розрахункам, оскільки встановлені законом та постановами. </w:t>
      </w:r>
      <w:proofErr w:type="spell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Органи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місцевого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самоврядування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47435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не</w:t>
      </w:r>
      <w:proofErr w:type="spell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наділені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повноваженнями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зміню</w:t>
      </w:r>
      <w:proofErr w:type="spellEnd"/>
      <w:r w:rsidR="004C52F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>вати</w:t>
      </w:r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порядок </w:t>
      </w:r>
      <w:proofErr w:type="spell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їх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обчислення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сплати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 </w:t>
      </w:r>
      <w:proofErr w:type="spell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інші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адм</w:t>
      </w:r>
      <w:proofErr w:type="gram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іністративні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процедури</w:t>
      </w:r>
      <w:proofErr w:type="spellEnd"/>
      <w:r w:rsidRPr="0047435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474352">
        <w:rPr>
          <w:rFonts w:ascii="Times New Roman" w:eastAsia="Calibri" w:hAnsi="Times New Roman" w:cs="Times New Roman"/>
          <w:sz w:val="26"/>
          <w:szCs w:val="26"/>
          <w:lang w:val="uk-UA" w:eastAsia="en-US"/>
        </w:rPr>
        <w:t xml:space="preserve"> </w:t>
      </w:r>
    </w:p>
    <w:p w:rsidR="009E3317" w:rsidRPr="00474352" w:rsidRDefault="009E3317" w:rsidP="009E3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</w:p>
    <w:p w:rsidR="007550A4" w:rsidRPr="00474352" w:rsidRDefault="00655D93" w:rsidP="00655D9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4. </w:t>
      </w:r>
      <w:proofErr w:type="spellStart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Розрахунок</w:t>
      </w:r>
      <w:proofErr w:type="spellEnd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сумарних</w:t>
      </w:r>
      <w:proofErr w:type="spellEnd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витрат</w:t>
      </w:r>
      <w:proofErr w:type="spellEnd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суб’єктів</w:t>
      </w:r>
      <w:proofErr w:type="spellEnd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малого </w:t>
      </w:r>
      <w:proofErr w:type="spellStart"/>
      <w:proofErr w:type="gramStart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ідприємництва</w:t>
      </w:r>
      <w:proofErr w:type="spellEnd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що</w:t>
      </w:r>
      <w:proofErr w:type="spellEnd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виникають</w:t>
      </w:r>
      <w:proofErr w:type="spellEnd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</w:t>
      </w:r>
      <w:proofErr w:type="spellStart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виконання</w:t>
      </w:r>
      <w:proofErr w:type="spellEnd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вимог</w:t>
      </w:r>
      <w:proofErr w:type="spellEnd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7550A4"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регулювання</w:t>
      </w:r>
      <w:proofErr w:type="spellEnd"/>
    </w:p>
    <w:tbl>
      <w:tblPr>
        <w:tblW w:w="949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822"/>
        <w:gridCol w:w="1699"/>
        <w:gridCol w:w="1310"/>
      </w:tblGrid>
      <w:tr w:rsidR="007550A4" w:rsidRPr="00474352" w:rsidTr="00E06A97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Порядковий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номер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Показник</w:t>
            </w:r>
            <w:proofErr w:type="spellEnd"/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Перший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ік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регулювання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стартовий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п’ять</w:t>
            </w:r>
            <w:proofErr w:type="spellEnd"/>
            <w:proofErr w:type="gramEnd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років</w:t>
            </w:r>
            <w:proofErr w:type="spellEnd"/>
          </w:p>
        </w:tc>
      </w:tr>
      <w:tr w:rsidR="007550A4" w:rsidRPr="00474352" w:rsidTr="00E06A97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Оцінка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прямих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витрат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суб’єктів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малого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ідприємництва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  <w:r w:rsidR="00C7171B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71B" w:rsidRPr="00474352" w:rsidRDefault="00474352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26086,9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A4" w:rsidRPr="00474352" w:rsidRDefault="00474352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115254</w:t>
            </w:r>
          </w:p>
        </w:tc>
      </w:tr>
      <w:tr w:rsidR="007550A4" w:rsidRPr="00474352" w:rsidTr="00E06A97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Оцінка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вартості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адм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іністративних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процедур для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суб’єктів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малого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мікро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підприємництва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щодо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  <w:r w:rsidR="00C7171B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A4" w:rsidRPr="00474352" w:rsidRDefault="00474352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3541,72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A4" w:rsidRPr="00474352" w:rsidRDefault="00474352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  <w:t>4264,52</w:t>
            </w:r>
          </w:p>
        </w:tc>
      </w:tr>
      <w:tr w:rsidR="007550A4" w:rsidRPr="00474352" w:rsidTr="00E06A97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Сумарні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витрати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малого</w:t>
            </w: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, м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ікр</w:t>
            </w:r>
            <w:proofErr w:type="gram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о-</w:t>
            </w:r>
            <w:proofErr w:type="spellEnd"/>
            <w:proofErr w:type="gram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підприємництва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запланованого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  <w:r w:rsidR="00C7171B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71B" w:rsidRPr="00474352" w:rsidRDefault="00474352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29628,62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A4" w:rsidRPr="00474352" w:rsidRDefault="00474352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119518,5</w:t>
            </w:r>
          </w:p>
        </w:tc>
      </w:tr>
      <w:tr w:rsidR="007550A4" w:rsidRPr="00474352" w:rsidTr="00E06A97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витрати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proofErr w:type="gram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адм</w:t>
            </w:r>
            <w:proofErr w:type="gram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іністрування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суб’єктів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малого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підприємництва</w:t>
            </w:r>
            <w:proofErr w:type="spellEnd"/>
            <w:r w:rsidR="00C7171B"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A4" w:rsidRPr="00474352" w:rsidRDefault="00474352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A4" w:rsidRPr="00474352" w:rsidRDefault="00474352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550A4" w:rsidRPr="00474352" w:rsidTr="00E06A97"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A4" w:rsidRPr="00474352" w:rsidRDefault="007550A4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Сумарні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витрати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запланованого</w:t>
            </w:r>
            <w:proofErr w:type="spellEnd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</w:rPr>
              <w:t>регулювання</w:t>
            </w:r>
            <w:proofErr w:type="spellEnd"/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A4" w:rsidRPr="00474352" w:rsidRDefault="00474352" w:rsidP="00C7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29628,62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A4" w:rsidRPr="00474352" w:rsidRDefault="00474352" w:rsidP="0075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7435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119518,5</w:t>
            </w:r>
          </w:p>
        </w:tc>
      </w:tr>
    </w:tbl>
    <w:p w:rsidR="008F103C" w:rsidRPr="00474352" w:rsidRDefault="007550A4" w:rsidP="0075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b/>
          <w:bCs/>
          <w:sz w:val="26"/>
          <w:szCs w:val="26"/>
        </w:rPr>
        <w:t>  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8F103C" w:rsidRPr="00474352" w:rsidRDefault="007550A4" w:rsidP="008F1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Головною метою розроблення </w:t>
      </w:r>
      <w:r w:rsidR="00E47BE6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Положення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є</w:t>
      </w:r>
      <w:r w:rsidR="008F103C" w:rsidRPr="0047435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F103C" w:rsidRPr="00474352" w:rsidRDefault="007550A4" w:rsidP="008F1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забезпечення реалізації Закону України «Про оренду д</w:t>
      </w:r>
      <w:r w:rsidR="008F103C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ержавного і комунального майна», </w:t>
      </w:r>
    </w:p>
    <w:p w:rsidR="008F103C" w:rsidRPr="00474352" w:rsidRDefault="007550A4" w:rsidP="008F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здійснення місцевого регулювання відносин, які виникають в процесі передачі в оренду об'єктів нерухомого майна, що належить до комунальної власності територіальної громади; </w:t>
      </w:r>
    </w:p>
    <w:p w:rsidR="007550A4" w:rsidRPr="00474352" w:rsidRDefault="007550A4" w:rsidP="008F1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hAnsi="Times New Roman" w:cs="Times New Roman"/>
          <w:sz w:val="26"/>
          <w:szCs w:val="26"/>
          <w:lang w:val="uk-UA"/>
        </w:rPr>
        <w:t>підвищення  прозорості  і  відкритості  процедури  розрахунку  і  порядку використання плати за оренду нерухомого майна та розміри орендних ставок за використання комунального майна;</w:t>
      </w:r>
    </w:p>
    <w:p w:rsidR="007550A4" w:rsidRPr="00474352" w:rsidRDefault="008F103C" w:rsidP="007550A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352">
        <w:rPr>
          <w:rFonts w:ascii="Times New Roman" w:hAnsi="Times New Roman" w:cs="Times New Roman"/>
          <w:sz w:val="26"/>
          <w:szCs w:val="26"/>
        </w:rPr>
        <w:tab/>
      </w:r>
      <w:r w:rsidR="007550A4" w:rsidRPr="00474352">
        <w:rPr>
          <w:rFonts w:ascii="Times New Roman" w:hAnsi="Times New Roman" w:cs="Times New Roman"/>
          <w:sz w:val="26"/>
          <w:szCs w:val="26"/>
          <w:lang w:val="uk-UA"/>
        </w:rPr>
        <w:t xml:space="preserve">створення  сприятливих та оптимальних умов для орендарів комунального майна </w:t>
      </w: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Іванівської селищної</w:t>
      </w:r>
      <w:r w:rsidR="007550A4"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територіальної громади. </w:t>
      </w:r>
    </w:p>
    <w:p w:rsidR="008F103C" w:rsidRPr="00474352" w:rsidRDefault="008F103C" w:rsidP="007550A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50A4" w:rsidRPr="00474352" w:rsidRDefault="007550A4" w:rsidP="00C7171B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6"/>
          <w:szCs w:val="26"/>
          <w:lang w:val="uk-UA" w:eastAsia="uk-UA"/>
        </w:rPr>
      </w:pPr>
      <w:r w:rsidRPr="00474352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5. </w:t>
      </w:r>
      <w:r w:rsidRPr="00474352">
        <w:rPr>
          <w:rFonts w:ascii="Times New Roman" w:eastAsia="Calibri" w:hAnsi="Times New Roman" w:cs="Times New Roman"/>
          <w:b/>
          <w:sz w:val="26"/>
          <w:szCs w:val="26"/>
          <w:lang w:val="uk-UA" w:eastAsia="uk-UA"/>
        </w:rPr>
        <w:t xml:space="preserve">Розроблення </w:t>
      </w:r>
      <w:proofErr w:type="spellStart"/>
      <w:r w:rsidRPr="00474352">
        <w:rPr>
          <w:rFonts w:ascii="Times New Roman" w:eastAsia="Calibri" w:hAnsi="Times New Roman" w:cs="Times New Roman"/>
          <w:b/>
          <w:sz w:val="26"/>
          <w:szCs w:val="26"/>
          <w:lang w:val="uk-UA" w:eastAsia="uk-UA"/>
        </w:rPr>
        <w:t>коригуючих</w:t>
      </w:r>
      <w:proofErr w:type="spellEnd"/>
      <w:r w:rsidRPr="00474352">
        <w:rPr>
          <w:rFonts w:ascii="Times New Roman" w:eastAsia="Calibri" w:hAnsi="Times New Roman" w:cs="Times New Roman"/>
          <w:b/>
          <w:sz w:val="26"/>
          <w:szCs w:val="26"/>
          <w:lang w:val="uk-UA" w:eastAsia="uk-UA"/>
        </w:rPr>
        <w:t xml:space="preserve"> (пом’якшувальних) заходів для малого підприємництва щодо запропонованого регулювання не передбачається.</w:t>
      </w:r>
    </w:p>
    <w:p w:rsidR="00474352" w:rsidRPr="00474352" w:rsidRDefault="00474352" w:rsidP="00474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>На основі аналізу статистичних даних, що наданні фінансовим відділом Іванівської селищної ради</w:t>
      </w:r>
      <w:r w:rsidR="004C52F2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bookmarkStart w:id="3" w:name="_GoBack"/>
      <w:bookmarkEnd w:id="3"/>
      <w:r w:rsidRPr="0047435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визначено, що зазначена сума є прийнятною для суб’єктів малого підприємництва.</w:t>
      </w:r>
    </w:p>
    <w:p w:rsidR="007550A4" w:rsidRPr="00474352" w:rsidRDefault="007550A4" w:rsidP="007550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bookmarkStart w:id="4" w:name="3dy6vkm"/>
      <w:bookmarkEnd w:id="4"/>
    </w:p>
    <w:p w:rsidR="007550A4" w:rsidRPr="00944D84" w:rsidRDefault="00944D84" w:rsidP="007550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47435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Іванівський селищний голова</w:t>
      </w:r>
      <w:r w:rsidRPr="0047435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ab/>
      </w:r>
      <w:r w:rsidRPr="0047435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ab/>
      </w:r>
      <w:r w:rsidRPr="0047435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ab/>
      </w:r>
      <w:r w:rsidRPr="0047435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ab/>
      </w:r>
      <w:r w:rsidRPr="0047435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ab/>
      </w:r>
      <w:r w:rsidRPr="00474352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ab/>
        <w:t>Віктор Д</w:t>
      </w:r>
      <w:r w:rsidRPr="00944D84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ЕБЕЛИЙ</w:t>
      </w:r>
    </w:p>
    <w:sectPr w:rsidR="007550A4" w:rsidRPr="00944D84" w:rsidSect="00944D84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D5" w:rsidRDefault="009F1ED5" w:rsidP="00475CE5">
      <w:pPr>
        <w:spacing w:after="0" w:line="240" w:lineRule="auto"/>
      </w:pPr>
      <w:r>
        <w:separator/>
      </w:r>
    </w:p>
  </w:endnote>
  <w:endnote w:type="continuationSeparator" w:id="0">
    <w:p w:rsidR="009F1ED5" w:rsidRDefault="009F1ED5" w:rsidP="0047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D5" w:rsidRDefault="009F1ED5" w:rsidP="00475CE5">
      <w:pPr>
        <w:spacing w:after="0" w:line="240" w:lineRule="auto"/>
      </w:pPr>
      <w:r>
        <w:separator/>
      </w:r>
    </w:p>
  </w:footnote>
  <w:footnote w:type="continuationSeparator" w:id="0">
    <w:p w:rsidR="009F1ED5" w:rsidRDefault="009F1ED5" w:rsidP="0047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88868"/>
      <w:docPartObj>
        <w:docPartGallery w:val="Page Numbers (Top of Page)"/>
        <w:docPartUnique/>
      </w:docPartObj>
    </w:sdtPr>
    <w:sdtContent>
      <w:p w:rsidR="00157327" w:rsidRDefault="001573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2F2">
          <w:rPr>
            <w:noProof/>
          </w:rPr>
          <w:t>20</w:t>
        </w:r>
        <w:r>
          <w:fldChar w:fldCharType="end"/>
        </w:r>
      </w:p>
    </w:sdtContent>
  </w:sdt>
  <w:p w:rsidR="00157327" w:rsidRDefault="001573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168"/>
    <w:multiLevelType w:val="hybridMultilevel"/>
    <w:tmpl w:val="BB1CA964"/>
    <w:lvl w:ilvl="0" w:tplc="7C84613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E7C7D"/>
    <w:multiLevelType w:val="hybridMultilevel"/>
    <w:tmpl w:val="C962697C"/>
    <w:lvl w:ilvl="0" w:tplc="7FC2A20A">
      <w:start w:val="1"/>
      <w:numFmt w:val="decimal"/>
      <w:lvlText w:val="%1."/>
      <w:lvlJc w:val="left"/>
      <w:pPr>
        <w:ind w:left="43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2C5A29D3"/>
    <w:multiLevelType w:val="multilevel"/>
    <w:tmpl w:val="6CE2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61898"/>
    <w:multiLevelType w:val="hybridMultilevel"/>
    <w:tmpl w:val="C5DC2DEA"/>
    <w:lvl w:ilvl="0" w:tplc="7638B5F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734F6"/>
    <w:multiLevelType w:val="hybridMultilevel"/>
    <w:tmpl w:val="062C031E"/>
    <w:lvl w:ilvl="0" w:tplc="EADC88B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80024"/>
    <w:multiLevelType w:val="multilevel"/>
    <w:tmpl w:val="062C4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87E5C"/>
    <w:multiLevelType w:val="multilevel"/>
    <w:tmpl w:val="DAFCB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9599D"/>
    <w:multiLevelType w:val="hybridMultilevel"/>
    <w:tmpl w:val="2BA60084"/>
    <w:lvl w:ilvl="0" w:tplc="0D90C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C7879"/>
    <w:multiLevelType w:val="hybridMultilevel"/>
    <w:tmpl w:val="68E4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94C25"/>
    <w:multiLevelType w:val="hybridMultilevel"/>
    <w:tmpl w:val="55C871D2"/>
    <w:lvl w:ilvl="0" w:tplc="5A20D86C">
      <w:start w:val="1"/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21"/>
    <w:rsid w:val="0000264C"/>
    <w:rsid w:val="000055FE"/>
    <w:rsid w:val="000258DE"/>
    <w:rsid w:val="000277DE"/>
    <w:rsid w:val="00034326"/>
    <w:rsid w:val="00044ADF"/>
    <w:rsid w:val="000722FB"/>
    <w:rsid w:val="000A0D23"/>
    <w:rsid w:val="000A7047"/>
    <w:rsid w:val="000D004D"/>
    <w:rsid w:val="000E4186"/>
    <w:rsid w:val="000F38DB"/>
    <w:rsid w:val="000F4D32"/>
    <w:rsid w:val="001120A5"/>
    <w:rsid w:val="001456B8"/>
    <w:rsid w:val="00153C42"/>
    <w:rsid w:val="00155224"/>
    <w:rsid w:val="00157327"/>
    <w:rsid w:val="001611FF"/>
    <w:rsid w:val="00195DBC"/>
    <w:rsid w:val="001A23E5"/>
    <w:rsid w:val="001A368A"/>
    <w:rsid w:val="001A589E"/>
    <w:rsid w:val="001D00D3"/>
    <w:rsid w:val="00202628"/>
    <w:rsid w:val="00244ABA"/>
    <w:rsid w:val="00274B22"/>
    <w:rsid w:val="002870AA"/>
    <w:rsid w:val="002A1153"/>
    <w:rsid w:val="002A3CE5"/>
    <w:rsid w:val="002A6D3A"/>
    <w:rsid w:val="002D0F63"/>
    <w:rsid w:val="002F5409"/>
    <w:rsid w:val="00307E35"/>
    <w:rsid w:val="0031376C"/>
    <w:rsid w:val="00323A96"/>
    <w:rsid w:val="00324E38"/>
    <w:rsid w:val="00332C95"/>
    <w:rsid w:val="00337457"/>
    <w:rsid w:val="0035112B"/>
    <w:rsid w:val="00373007"/>
    <w:rsid w:val="003A0F9F"/>
    <w:rsid w:val="003C2F73"/>
    <w:rsid w:val="003D7B04"/>
    <w:rsid w:val="003F0653"/>
    <w:rsid w:val="003F695C"/>
    <w:rsid w:val="0041122D"/>
    <w:rsid w:val="004228C6"/>
    <w:rsid w:val="00423143"/>
    <w:rsid w:val="00433E3A"/>
    <w:rsid w:val="004463DA"/>
    <w:rsid w:val="00452106"/>
    <w:rsid w:val="00460DAE"/>
    <w:rsid w:val="00474352"/>
    <w:rsid w:val="00475CE5"/>
    <w:rsid w:val="00475EAA"/>
    <w:rsid w:val="00477BF8"/>
    <w:rsid w:val="00484FA7"/>
    <w:rsid w:val="004855A1"/>
    <w:rsid w:val="004B10A1"/>
    <w:rsid w:val="004C52F2"/>
    <w:rsid w:val="004C5F64"/>
    <w:rsid w:val="004D461B"/>
    <w:rsid w:val="00546F9C"/>
    <w:rsid w:val="00554BAE"/>
    <w:rsid w:val="0057442D"/>
    <w:rsid w:val="0058486D"/>
    <w:rsid w:val="00592A4C"/>
    <w:rsid w:val="005971D8"/>
    <w:rsid w:val="00597EFB"/>
    <w:rsid w:val="005A5EBD"/>
    <w:rsid w:val="005B5BD6"/>
    <w:rsid w:val="005C4DD9"/>
    <w:rsid w:val="005C762C"/>
    <w:rsid w:val="005D69F5"/>
    <w:rsid w:val="005F6909"/>
    <w:rsid w:val="00602783"/>
    <w:rsid w:val="006105AE"/>
    <w:rsid w:val="00616E66"/>
    <w:rsid w:val="00621D30"/>
    <w:rsid w:val="00626D80"/>
    <w:rsid w:val="0063499E"/>
    <w:rsid w:val="00647980"/>
    <w:rsid w:val="006504BD"/>
    <w:rsid w:val="00655D93"/>
    <w:rsid w:val="006740A4"/>
    <w:rsid w:val="006876BC"/>
    <w:rsid w:val="006A7222"/>
    <w:rsid w:val="006B77B1"/>
    <w:rsid w:val="0070135F"/>
    <w:rsid w:val="00707D7E"/>
    <w:rsid w:val="007104D8"/>
    <w:rsid w:val="007366E8"/>
    <w:rsid w:val="007550A4"/>
    <w:rsid w:val="007576FB"/>
    <w:rsid w:val="00776E59"/>
    <w:rsid w:val="00785C0C"/>
    <w:rsid w:val="00791836"/>
    <w:rsid w:val="00797071"/>
    <w:rsid w:val="007B4C9B"/>
    <w:rsid w:val="007C16E9"/>
    <w:rsid w:val="007D40F4"/>
    <w:rsid w:val="007D51EA"/>
    <w:rsid w:val="007E1067"/>
    <w:rsid w:val="007E22BF"/>
    <w:rsid w:val="007F1E84"/>
    <w:rsid w:val="007F49E1"/>
    <w:rsid w:val="008042DE"/>
    <w:rsid w:val="00831DCB"/>
    <w:rsid w:val="008620B8"/>
    <w:rsid w:val="0086440B"/>
    <w:rsid w:val="00893226"/>
    <w:rsid w:val="008E19DC"/>
    <w:rsid w:val="008F103C"/>
    <w:rsid w:val="00906B34"/>
    <w:rsid w:val="00944D84"/>
    <w:rsid w:val="00961C2B"/>
    <w:rsid w:val="00995935"/>
    <w:rsid w:val="009968C8"/>
    <w:rsid w:val="009A5F90"/>
    <w:rsid w:val="009B6984"/>
    <w:rsid w:val="009C5F05"/>
    <w:rsid w:val="009D25DA"/>
    <w:rsid w:val="009D6129"/>
    <w:rsid w:val="009E3317"/>
    <w:rsid w:val="009F1ED5"/>
    <w:rsid w:val="00A418D5"/>
    <w:rsid w:val="00A51920"/>
    <w:rsid w:val="00A52FBF"/>
    <w:rsid w:val="00A549D8"/>
    <w:rsid w:val="00A57C6A"/>
    <w:rsid w:val="00A63EC7"/>
    <w:rsid w:val="00A726A3"/>
    <w:rsid w:val="00A81DC7"/>
    <w:rsid w:val="00A876D2"/>
    <w:rsid w:val="00AA3E9C"/>
    <w:rsid w:val="00AB0049"/>
    <w:rsid w:val="00AB1A57"/>
    <w:rsid w:val="00AC0774"/>
    <w:rsid w:val="00AD489D"/>
    <w:rsid w:val="00AF6A2D"/>
    <w:rsid w:val="00B01223"/>
    <w:rsid w:val="00B06995"/>
    <w:rsid w:val="00B06F22"/>
    <w:rsid w:val="00B2138E"/>
    <w:rsid w:val="00B4794C"/>
    <w:rsid w:val="00B51948"/>
    <w:rsid w:val="00B724EC"/>
    <w:rsid w:val="00B74B0A"/>
    <w:rsid w:val="00B82F75"/>
    <w:rsid w:val="00B91476"/>
    <w:rsid w:val="00B91C04"/>
    <w:rsid w:val="00B92B9F"/>
    <w:rsid w:val="00BB4CD2"/>
    <w:rsid w:val="00BC63D9"/>
    <w:rsid w:val="00BD56AC"/>
    <w:rsid w:val="00C17421"/>
    <w:rsid w:val="00C17658"/>
    <w:rsid w:val="00C17FDB"/>
    <w:rsid w:val="00C223DE"/>
    <w:rsid w:val="00C22FB2"/>
    <w:rsid w:val="00C23AA6"/>
    <w:rsid w:val="00C24AD7"/>
    <w:rsid w:val="00C46438"/>
    <w:rsid w:val="00C56D08"/>
    <w:rsid w:val="00C57335"/>
    <w:rsid w:val="00C703E4"/>
    <w:rsid w:val="00C7171B"/>
    <w:rsid w:val="00C7770A"/>
    <w:rsid w:val="00CE6D5C"/>
    <w:rsid w:val="00CE6FF0"/>
    <w:rsid w:val="00D1691B"/>
    <w:rsid w:val="00D260F2"/>
    <w:rsid w:val="00D32C1D"/>
    <w:rsid w:val="00D578F2"/>
    <w:rsid w:val="00D83962"/>
    <w:rsid w:val="00D92499"/>
    <w:rsid w:val="00DD37B6"/>
    <w:rsid w:val="00DE2859"/>
    <w:rsid w:val="00DE4256"/>
    <w:rsid w:val="00DF2B78"/>
    <w:rsid w:val="00E02821"/>
    <w:rsid w:val="00E06A97"/>
    <w:rsid w:val="00E25FE8"/>
    <w:rsid w:val="00E3203E"/>
    <w:rsid w:val="00E46724"/>
    <w:rsid w:val="00E47BE6"/>
    <w:rsid w:val="00E51506"/>
    <w:rsid w:val="00E86A84"/>
    <w:rsid w:val="00E94ECD"/>
    <w:rsid w:val="00EB3D70"/>
    <w:rsid w:val="00EB4E09"/>
    <w:rsid w:val="00ED0A79"/>
    <w:rsid w:val="00F11B88"/>
    <w:rsid w:val="00F175C1"/>
    <w:rsid w:val="00F23375"/>
    <w:rsid w:val="00F35EC3"/>
    <w:rsid w:val="00F41AA6"/>
    <w:rsid w:val="00F44760"/>
    <w:rsid w:val="00F55620"/>
    <w:rsid w:val="00F57896"/>
    <w:rsid w:val="00F66AFB"/>
    <w:rsid w:val="00F71023"/>
    <w:rsid w:val="00F93336"/>
    <w:rsid w:val="00FB3994"/>
    <w:rsid w:val="00FB461B"/>
    <w:rsid w:val="00FC0C94"/>
    <w:rsid w:val="00FE5964"/>
    <w:rsid w:val="00FF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B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77B1"/>
    <w:pPr>
      <w:ind w:left="720"/>
      <w:contextualSpacing/>
    </w:pPr>
  </w:style>
  <w:style w:type="character" w:styleId="a8">
    <w:name w:val="Strong"/>
    <w:basedOn w:val="a0"/>
    <w:qFormat/>
    <w:rsid w:val="006B77B1"/>
    <w:rPr>
      <w:b/>
      <w:bCs/>
    </w:rPr>
  </w:style>
  <w:style w:type="paragraph" w:customStyle="1" w:styleId="rvps14">
    <w:name w:val="rvps14"/>
    <w:basedOn w:val="a"/>
    <w:rsid w:val="00DD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DD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Стиль2"/>
    <w:basedOn w:val="a9"/>
    <w:rsid w:val="007550A4"/>
  </w:style>
  <w:style w:type="character" w:styleId="a9">
    <w:name w:val="line number"/>
    <w:basedOn w:val="a0"/>
    <w:uiPriority w:val="99"/>
    <w:semiHidden/>
    <w:unhideWhenUsed/>
    <w:rsid w:val="007550A4"/>
  </w:style>
  <w:style w:type="paragraph" w:styleId="aa">
    <w:name w:val="header"/>
    <w:basedOn w:val="a"/>
    <w:link w:val="ab"/>
    <w:uiPriority w:val="99"/>
    <w:unhideWhenUsed/>
    <w:rsid w:val="0047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5CE5"/>
  </w:style>
  <w:style w:type="paragraph" w:styleId="ac">
    <w:name w:val="footer"/>
    <w:basedOn w:val="a"/>
    <w:link w:val="ad"/>
    <w:uiPriority w:val="99"/>
    <w:unhideWhenUsed/>
    <w:rsid w:val="0047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5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6B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7B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77B1"/>
    <w:pPr>
      <w:ind w:left="720"/>
      <w:contextualSpacing/>
    </w:pPr>
  </w:style>
  <w:style w:type="character" w:styleId="a8">
    <w:name w:val="Strong"/>
    <w:basedOn w:val="a0"/>
    <w:qFormat/>
    <w:rsid w:val="006B77B1"/>
    <w:rPr>
      <w:b/>
      <w:bCs/>
    </w:rPr>
  </w:style>
  <w:style w:type="paragraph" w:customStyle="1" w:styleId="rvps14">
    <w:name w:val="rvps14"/>
    <w:basedOn w:val="a"/>
    <w:rsid w:val="00DD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DD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Стиль2"/>
    <w:basedOn w:val="a9"/>
    <w:rsid w:val="007550A4"/>
  </w:style>
  <w:style w:type="character" w:styleId="a9">
    <w:name w:val="line number"/>
    <w:basedOn w:val="a0"/>
    <w:uiPriority w:val="99"/>
    <w:semiHidden/>
    <w:unhideWhenUsed/>
    <w:rsid w:val="007550A4"/>
  </w:style>
  <w:style w:type="paragraph" w:styleId="aa">
    <w:name w:val="header"/>
    <w:basedOn w:val="a"/>
    <w:link w:val="ab"/>
    <w:uiPriority w:val="99"/>
    <w:unhideWhenUsed/>
    <w:rsid w:val="0047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5CE5"/>
  </w:style>
  <w:style w:type="paragraph" w:styleId="ac">
    <w:name w:val="footer"/>
    <w:basedOn w:val="a"/>
    <w:link w:val="ad"/>
    <w:uiPriority w:val="99"/>
    <w:unhideWhenUsed/>
    <w:rsid w:val="00475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393F-A00D-4BCE-A1F1-CEA74501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20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34342</cp:lastModifiedBy>
  <cp:revision>31</cp:revision>
  <cp:lastPrinted>2020-10-19T07:28:00Z</cp:lastPrinted>
  <dcterms:created xsi:type="dcterms:W3CDTF">2021-07-15T11:13:00Z</dcterms:created>
  <dcterms:modified xsi:type="dcterms:W3CDTF">2021-08-06T11:54:00Z</dcterms:modified>
</cp:coreProperties>
</file>