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669B" w14:textId="39823C30" w:rsidR="0082530D" w:rsidRDefault="00421E15">
      <w:pPr>
        <w:spacing w:after="0" w:line="240" w:lineRule="auto"/>
        <w:jc w:val="right"/>
        <w:rPr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D55424E" wp14:editId="1ADD6528">
            <wp:simplePos x="0" y="0"/>
            <wp:positionH relativeFrom="column">
              <wp:posOffset>0</wp:posOffset>
            </wp:positionH>
            <wp:positionV relativeFrom="paragraph">
              <wp:posOffset>-85090</wp:posOffset>
            </wp:positionV>
            <wp:extent cx="762635" cy="790575"/>
            <wp:effectExtent l="63500" t="63500" r="63500" b="6350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62480" cy="79056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outerShdw blurRad="63360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830CB"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47AE3CE">
                <wp:simplePos x="0" y="0"/>
                <wp:positionH relativeFrom="column">
                  <wp:posOffset>833755</wp:posOffset>
                </wp:positionH>
                <wp:positionV relativeFrom="paragraph">
                  <wp:posOffset>-144145</wp:posOffset>
                </wp:positionV>
                <wp:extent cx="5288915" cy="913765"/>
                <wp:effectExtent l="0" t="0" r="0" b="0"/>
                <wp:wrapNone/>
                <wp:docPr id="3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8915" cy="9137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B62B67" w14:textId="77777777" w:rsidR="0082530D" w:rsidRDefault="00421E15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Inerta" w:eastAsia="DejaVu Sans" w:hAnsi="Inerta" w:cs="Arial"/>
                                <w:b/>
                                <w:bCs/>
                                <w:color w:val="8496B0" w:themeColor="dark2" w:themeTint="99"/>
                                <w:kern w:val="2"/>
                                <w:sz w:val="36"/>
                                <w:szCs w:val="36"/>
                              </w:rPr>
                              <w:t xml:space="preserve">Головне управління </w:t>
                            </w:r>
                          </w:p>
                          <w:p w14:paraId="42ABC0B2" w14:textId="77777777" w:rsidR="0082530D" w:rsidRDefault="00421E15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Inerta" w:eastAsia="DejaVu Sans" w:hAnsi="Inerta" w:cs="Arial"/>
                                <w:b/>
                                <w:bCs/>
                                <w:color w:val="8496B0" w:themeColor="dark2" w:themeTint="99"/>
                                <w:kern w:val="2"/>
                                <w:sz w:val="36"/>
                                <w:szCs w:val="36"/>
                              </w:rPr>
                              <w:t xml:space="preserve">Держпродспоживслужби </w:t>
                            </w:r>
                          </w:p>
                          <w:p w14:paraId="520C41EF" w14:textId="77777777" w:rsidR="0082530D" w:rsidRDefault="00421E15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Inerta" w:eastAsia="DejaVu Sans" w:hAnsi="Inerta" w:cs="Arial"/>
                                <w:b/>
                                <w:bCs/>
                                <w:color w:val="8496B0" w:themeColor="dark2" w:themeTint="99"/>
                                <w:kern w:val="2"/>
                                <w:sz w:val="36"/>
                                <w:szCs w:val="36"/>
                              </w:rPr>
                              <w:t>в Запорізькій області</w:t>
                            </w:r>
                          </w:p>
                        </w:txbxContent>
                      </wps:txbx>
                      <wps:bodyPr lIns="90000" tIns="45000" rIns="90000" bIns="4500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AE3CE" id="TextBox 2" o:spid="_x0000_s1026" style="position:absolute;left:0;text-align:left;margin-left:65.65pt;margin-top:-11.35pt;width:416.45pt;height:71.9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" filled="f" stroked="f" strokeweight="0">
                <v:textbox style="mso-fit-shape-to-text:t" inset="2.5mm,1.25mm,2.5mm,1.25mm">
                  <w:txbxContent>
                    <w:p w14:paraId="17B62B67" w14:textId="77777777" w:rsidR="0082530D" w:rsidRDefault="00421E15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Inerta" w:eastAsia="DejaVu Sans" w:hAnsi="Inerta" w:cs="Arial"/>
                          <w:b/>
                          <w:bCs/>
                          <w:color w:val="8496B0" w:themeColor="dark2" w:themeTint="99"/>
                          <w:kern w:val="2"/>
                          <w:sz w:val="36"/>
                          <w:szCs w:val="36"/>
                        </w:rPr>
                        <w:t xml:space="preserve">Головне управління </w:t>
                      </w:r>
                    </w:p>
                    <w:p w14:paraId="42ABC0B2" w14:textId="77777777" w:rsidR="0082530D" w:rsidRDefault="00421E15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Inerta" w:eastAsia="DejaVu Sans" w:hAnsi="Inerta" w:cs="Arial"/>
                          <w:b/>
                          <w:bCs/>
                          <w:color w:val="8496B0" w:themeColor="dark2" w:themeTint="99"/>
                          <w:kern w:val="2"/>
                          <w:sz w:val="36"/>
                          <w:szCs w:val="36"/>
                        </w:rPr>
                        <w:t xml:space="preserve">Держпродспоживслужби </w:t>
                      </w:r>
                    </w:p>
                    <w:p w14:paraId="520C41EF" w14:textId="77777777" w:rsidR="0082530D" w:rsidRDefault="00421E15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Inerta" w:eastAsia="DejaVu Sans" w:hAnsi="Inerta" w:cs="Arial"/>
                          <w:b/>
                          <w:bCs/>
                          <w:color w:val="8496B0" w:themeColor="dark2" w:themeTint="99"/>
                          <w:kern w:val="2"/>
                          <w:sz w:val="36"/>
                          <w:szCs w:val="36"/>
                        </w:rPr>
                        <w:t>в Запорізькій області</w:t>
                      </w:r>
                    </w:p>
                  </w:txbxContent>
                </v:textbox>
              </v:rect>
            </w:pict>
          </mc:Fallback>
        </mc:AlternateContent>
      </w:r>
    </w:p>
    <w:p w14:paraId="34092A64" w14:textId="77777777" w:rsidR="0082530D" w:rsidRDefault="0082530D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5EAC0F40" w14:textId="77777777" w:rsidR="0082530D" w:rsidRDefault="0082530D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55250CA5" w14:textId="77777777" w:rsidR="0082530D" w:rsidRDefault="0082530D" w:rsidP="00F75949">
      <w:pPr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</w:p>
    <w:p w14:paraId="09630450" w14:textId="77777777" w:rsidR="0082530D" w:rsidRPr="00F75949" w:rsidRDefault="00421E1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b/>
          <w:bCs/>
          <w:sz w:val="28"/>
          <w:szCs w:val="28"/>
          <w:u w:val="single"/>
        </w:rPr>
        <w:t>Пам’ятка з профілактики вірусного гепатиту А</w:t>
      </w:r>
    </w:p>
    <w:p w14:paraId="36A939E5" w14:textId="77777777" w:rsidR="0082530D" w:rsidRPr="00F75949" w:rsidRDefault="00421E15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F75949">
        <w:rPr>
          <w:rFonts w:ascii="Arial" w:hAnsi="Arial" w:cs="Arial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" behindDoc="0" locked="0" layoutInCell="0" allowOverlap="1" wp14:anchorId="23714489" wp14:editId="4B5F07AC">
            <wp:simplePos x="0" y="0"/>
            <wp:positionH relativeFrom="column">
              <wp:posOffset>0</wp:posOffset>
            </wp:positionH>
            <wp:positionV relativeFrom="paragraph">
              <wp:posOffset>217170</wp:posOffset>
            </wp:positionV>
            <wp:extent cx="2131060" cy="1043940"/>
            <wp:effectExtent l="0" t="0" r="0" b="0"/>
            <wp:wrapSquare wrapText="bothSides"/>
            <wp:docPr id="4" name="Рисунок 2" descr="C:\Users\User\Desktop\ЛИСТИ\Памятка\istockphoto-1369069716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Users\User\Desktop\ЛИСТИ\Памятка\istockphoto-1369069716-612x6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1ECEF3" w14:textId="77777777" w:rsidR="0082530D" w:rsidRPr="00F75949" w:rsidRDefault="00421E15">
      <w:pPr>
        <w:tabs>
          <w:tab w:val="left" w:pos="1308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b/>
          <w:bCs/>
          <w:sz w:val="28"/>
          <w:szCs w:val="28"/>
        </w:rPr>
        <w:t>Гепатит А</w:t>
      </w:r>
      <w:r w:rsidRPr="00F75949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F75949">
        <w:rPr>
          <w:rFonts w:ascii="Arial" w:hAnsi="Arial" w:cs="Arial"/>
          <w:b/>
          <w:bCs/>
          <w:sz w:val="28"/>
          <w:szCs w:val="28"/>
        </w:rPr>
        <w:t>(хвороба Боткіна)</w:t>
      </w:r>
      <w:r w:rsidRPr="00F75949">
        <w:rPr>
          <w:rFonts w:ascii="Arial" w:hAnsi="Arial" w:cs="Arial"/>
          <w:b/>
          <w:bCs/>
          <w:i/>
          <w:iCs/>
          <w:sz w:val="28"/>
          <w:szCs w:val="28"/>
        </w:rPr>
        <w:t>–</w:t>
      </w:r>
      <w:r w:rsidRPr="00F75949">
        <w:rPr>
          <w:rFonts w:ascii="Arial" w:hAnsi="Arial" w:cs="Arial"/>
          <w:color w:val="1F1F1F"/>
          <w:sz w:val="28"/>
          <w:szCs w:val="28"/>
          <w:shd w:val="clear" w:color="auto" w:fill="FFFFFF"/>
        </w:rPr>
        <w:t>це </w:t>
      </w:r>
      <w:r w:rsidRPr="00F75949">
        <w:rPr>
          <w:rFonts w:ascii="Arial" w:hAnsi="Arial" w:cs="Arial"/>
          <w:color w:val="040C28"/>
          <w:sz w:val="28"/>
          <w:szCs w:val="28"/>
        </w:rPr>
        <w:t xml:space="preserve">гостре запальне вірусне захворювання, яке вражає печінку. Захворювання спричиняється вірусом гепатиту А (HAV). </w:t>
      </w:r>
      <w:r w:rsidRPr="00F75949">
        <w:rPr>
          <w:rFonts w:ascii="Arial" w:hAnsi="Arial" w:cs="Arial"/>
          <w:sz w:val="28"/>
          <w:szCs w:val="28"/>
        </w:rPr>
        <w:t>Основним джерелом інфекції є хворі на гепатит А люди або здорові бактеріоносії.</w:t>
      </w:r>
    </w:p>
    <w:p w14:paraId="59F60210" w14:textId="77777777" w:rsidR="0082530D" w:rsidRPr="00F75949" w:rsidRDefault="00421E15">
      <w:pPr>
        <w:spacing w:after="0" w:line="276" w:lineRule="auto"/>
        <w:ind w:left="142" w:firstLine="851"/>
        <w:jc w:val="both"/>
        <w:rPr>
          <w:rFonts w:ascii="Arial" w:hAnsi="Arial" w:cs="Arial"/>
          <w:b/>
          <w:bCs/>
          <w:sz w:val="28"/>
          <w:szCs w:val="28"/>
        </w:rPr>
      </w:pPr>
      <w:r w:rsidRPr="00F75949">
        <w:rPr>
          <w:rFonts w:ascii="Arial" w:hAnsi="Arial" w:cs="Arial"/>
          <w:b/>
          <w:bCs/>
          <w:sz w:val="28"/>
          <w:szCs w:val="28"/>
          <w:u w:val="single"/>
        </w:rPr>
        <w:t xml:space="preserve">Шляхи передачі збудника: </w:t>
      </w:r>
    </w:p>
    <w:p w14:paraId="4DBA0C15" w14:textId="77777777" w:rsidR="0082530D" w:rsidRPr="00F75949" w:rsidRDefault="00421E15">
      <w:pPr>
        <w:numPr>
          <w:ilvl w:val="0"/>
          <w:numId w:val="1"/>
        </w:numPr>
        <w:tabs>
          <w:tab w:val="clear" w:pos="720"/>
          <w:tab w:val="left" w:pos="1308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color w:val="040C28"/>
          <w:sz w:val="28"/>
          <w:szCs w:val="28"/>
        </w:rPr>
        <w:t>фекально-оральний (через вживання інфікованої збудником води або їжі);</w:t>
      </w:r>
    </w:p>
    <w:p w14:paraId="756E6D86" w14:textId="77777777" w:rsidR="0082530D" w:rsidRPr="00F75949" w:rsidRDefault="00421E15">
      <w:pPr>
        <w:pStyle w:val="a9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color w:val="040C28"/>
          <w:sz w:val="28"/>
          <w:szCs w:val="28"/>
        </w:rPr>
        <w:t xml:space="preserve">контактно-побутовий (через інфіковані збудником предмети побуту та брудні руки, рідше може передаватися при тісному контакті з хворим). </w:t>
      </w:r>
    </w:p>
    <w:p w14:paraId="286C9D1A" w14:textId="77777777" w:rsidR="0082530D" w:rsidRPr="00F75949" w:rsidRDefault="00421E15">
      <w:pPr>
        <w:pStyle w:val="a9"/>
        <w:spacing w:after="0" w:line="276" w:lineRule="auto"/>
        <w:ind w:left="993"/>
        <w:jc w:val="both"/>
        <w:rPr>
          <w:rFonts w:ascii="Arial" w:hAnsi="Arial" w:cs="Arial"/>
          <w:b/>
          <w:bCs/>
          <w:sz w:val="28"/>
          <w:szCs w:val="28"/>
        </w:rPr>
      </w:pPr>
      <w:r w:rsidRPr="00F75949">
        <w:rPr>
          <w:rFonts w:ascii="Arial" w:hAnsi="Arial" w:cs="Arial"/>
          <w:b/>
          <w:bCs/>
          <w:sz w:val="28"/>
          <w:szCs w:val="28"/>
          <w:u w:val="single"/>
        </w:rPr>
        <w:t xml:space="preserve">Симптоми: </w:t>
      </w:r>
    </w:p>
    <w:p w14:paraId="69D3A5D1" w14:textId="77777777" w:rsidR="0082530D" w:rsidRPr="00F75949" w:rsidRDefault="00421E15">
      <w:pPr>
        <w:numPr>
          <w:ilvl w:val="0"/>
          <w:numId w:val="2"/>
        </w:numPr>
        <w:tabs>
          <w:tab w:val="clear" w:pos="720"/>
          <w:tab w:val="left" w:pos="1308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color w:val="040C28"/>
          <w:sz w:val="28"/>
          <w:szCs w:val="28"/>
        </w:rPr>
        <w:t>виражена загальна слабкість;</w:t>
      </w:r>
    </w:p>
    <w:p w14:paraId="778D25AE" w14:textId="77777777" w:rsidR="0082530D" w:rsidRPr="00F75949" w:rsidRDefault="00421E15">
      <w:pPr>
        <w:numPr>
          <w:ilvl w:val="0"/>
          <w:numId w:val="2"/>
        </w:numPr>
        <w:tabs>
          <w:tab w:val="clear" w:pos="720"/>
          <w:tab w:val="left" w:pos="1308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color w:val="040C28"/>
          <w:sz w:val="28"/>
          <w:szCs w:val="28"/>
        </w:rPr>
        <w:t>підвищення температури тіла;</w:t>
      </w:r>
    </w:p>
    <w:p w14:paraId="7CEB6D7B" w14:textId="77777777" w:rsidR="0082530D" w:rsidRPr="00F75949" w:rsidRDefault="00421E15">
      <w:pPr>
        <w:numPr>
          <w:ilvl w:val="0"/>
          <w:numId w:val="2"/>
        </w:numPr>
        <w:tabs>
          <w:tab w:val="clear" w:pos="720"/>
          <w:tab w:val="left" w:pos="1308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color w:val="040C28"/>
          <w:sz w:val="28"/>
          <w:szCs w:val="28"/>
        </w:rPr>
        <w:t>втрата апетиту;</w:t>
      </w:r>
    </w:p>
    <w:p w14:paraId="6ED40FD3" w14:textId="77777777" w:rsidR="0082530D" w:rsidRPr="00F75949" w:rsidRDefault="00421E15">
      <w:pPr>
        <w:numPr>
          <w:ilvl w:val="0"/>
          <w:numId w:val="2"/>
        </w:numPr>
        <w:tabs>
          <w:tab w:val="clear" w:pos="720"/>
          <w:tab w:val="left" w:pos="1308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color w:val="040C28"/>
          <w:sz w:val="28"/>
          <w:szCs w:val="28"/>
        </w:rPr>
        <w:t>дискомфортні відчуття в області живота;</w:t>
      </w:r>
    </w:p>
    <w:p w14:paraId="58701380" w14:textId="77777777" w:rsidR="0082530D" w:rsidRPr="00F75949" w:rsidRDefault="00421E15">
      <w:pPr>
        <w:numPr>
          <w:ilvl w:val="0"/>
          <w:numId w:val="2"/>
        </w:numPr>
        <w:tabs>
          <w:tab w:val="clear" w:pos="720"/>
          <w:tab w:val="left" w:pos="1308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color w:val="040C28"/>
          <w:sz w:val="28"/>
          <w:szCs w:val="28"/>
        </w:rPr>
        <w:t>нудота, блювання, діарея;</w:t>
      </w:r>
    </w:p>
    <w:p w14:paraId="5EA90D75" w14:textId="77777777" w:rsidR="0082530D" w:rsidRPr="00F75949" w:rsidRDefault="00421E15">
      <w:pPr>
        <w:numPr>
          <w:ilvl w:val="0"/>
          <w:numId w:val="2"/>
        </w:numPr>
        <w:tabs>
          <w:tab w:val="clear" w:pos="720"/>
          <w:tab w:val="left" w:pos="1308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color w:val="040C28"/>
          <w:sz w:val="28"/>
          <w:szCs w:val="28"/>
        </w:rPr>
        <w:t>важкість у правому підребер’ї;</w:t>
      </w:r>
    </w:p>
    <w:p w14:paraId="16763A4B" w14:textId="77777777" w:rsidR="0082530D" w:rsidRPr="00F75949" w:rsidRDefault="00421E15">
      <w:pPr>
        <w:numPr>
          <w:ilvl w:val="0"/>
          <w:numId w:val="2"/>
        </w:numPr>
        <w:tabs>
          <w:tab w:val="clear" w:pos="720"/>
          <w:tab w:val="left" w:pos="1308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color w:val="040C28"/>
          <w:sz w:val="28"/>
          <w:szCs w:val="28"/>
        </w:rPr>
        <w:t>потемніння сечі;</w:t>
      </w:r>
    </w:p>
    <w:p w14:paraId="50A6FB3A" w14:textId="77777777" w:rsidR="0082530D" w:rsidRPr="00F75949" w:rsidRDefault="00421E15">
      <w:pPr>
        <w:numPr>
          <w:ilvl w:val="0"/>
          <w:numId w:val="2"/>
        </w:numPr>
        <w:tabs>
          <w:tab w:val="clear" w:pos="720"/>
          <w:tab w:val="left" w:pos="1308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color w:val="040C28"/>
          <w:sz w:val="28"/>
          <w:szCs w:val="28"/>
        </w:rPr>
        <w:t>жовтяниця (пожовтіння склер та шкірних покривів).</w:t>
      </w:r>
    </w:p>
    <w:p w14:paraId="3100D1D0" w14:textId="77777777" w:rsidR="0082530D" w:rsidRPr="00F75949" w:rsidRDefault="00421E15">
      <w:pPr>
        <w:tabs>
          <w:tab w:val="left" w:pos="1308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color w:val="040C28"/>
          <w:sz w:val="28"/>
          <w:szCs w:val="28"/>
        </w:rPr>
        <w:t xml:space="preserve">Інкубаційний період вірусного гепатиту А (період з моменту інфікування до появи перших клінічних проявів) може тривати від 7 до 50 днів, проте зазвичай він триває 15–30 днів. </w:t>
      </w:r>
    </w:p>
    <w:p w14:paraId="077DE811" w14:textId="77777777" w:rsidR="0082530D" w:rsidRPr="00F75949" w:rsidRDefault="0082530D">
      <w:pPr>
        <w:tabs>
          <w:tab w:val="left" w:pos="1308"/>
        </w:tabs>
        <w:spacing w:after="0" w:line="240" w:lineRule="auto"/>
        <w:ind w:firstLine="720"/>
        <w:jc w:val="both"/>
        <w:rPr>
          <w:rFonts w:ascii="Arial" w:hAnsi="Arial" w:cs="Arial"/>
          <w:color w:val="040C28"/>
          <w:sz w:val="28"/>
          <w:szCs w:val="28"/>
        </w:rPr>
      </w:pPr>
    </w:p>
    <w:p w14:paraId="043C7CF1" w14:textId="77777777" w:rsidR="0082530D" w:rsidRPr="00F75949" w:rsidRDefault="00421E15">
      <w:pPr>
        <w:pStyle w:val="aa"/>
        <w:shd w:val="clear" w:color="auto" w:fill="FFFFFF"/>
        <w:spacing w:beforeAutospacing="0" w:after="0" w:afterAutospacing="0" w:line="276" w:lineRule="auto"/>
        <w:ind w:left="709" w:right="225"/>
        <w:jc w:val="center"/>
        <w:rPr>
          <w:rFonts w:ascii="Arial" w:hAnsi="Arial" w:cs="Arial"/>
          <w:sz w:val="28"/>
          <w:szCs w:val="28"/>
        </w:rPr>
      </w:pPr>
      <w:r w:rsidRPr="00F75949">
        <w:rPr>
          <w:rStyle w:val="a3"/>
          <w:rFonts w:ascii="Arial" w:hAnsi="Arial" w:cs="Arial"/>
          <w:sz w:val="28"/>
          <w:szCs w:val="28"/>
        </w:rPr>
        <w:t>Щоб запобігти захворюванню на гепатит А, необхідно виконувати певні правила:</w:t>
      </w:r>
    </w:p>
    <w:p w14:paraId="1F91D5D6" w14:textId="77777777" w:rsidR="0082530D" w:rsidRPr="00F75949" w:rsidRDefault="00421E15">
      <w:pPr>
        <w:numPr>
          <w:ilvl w:val="0"/>
          <w:numId w:val="3"/>
        </w:numPr>
        <w:tabs>
          <w:tab w:val="left" w:pos="130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sz w:val="28"/>
          <w:szCs w:val="28"/>
        </w:rPr>
        <w:t>Чітко дотримуйтесь правил особистої гігієни – обов`язково мити руки з милом перед приготуванням та вживанням їжі, після кожного відвідування туалету;</w:t>
      </w:r>
    </w:p>
    <w:p w14:paraId="38C533A1" w14:textId="77777777" w:rsidR="0082530D" w:rsidRPr="00F75949" w:rsidRDefault="00421E15">
      <w:pPr>
        <w:numPr>
          <w:ilvl w:val="0"/>
          <w:numId w:val="3"/>
        </w:numPr>
        <w:tabs>
          <w:tab w:val="left" w:pos="130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sz w:val="28"/>
          <w:szCs w:val="28"/>
        </w:rPr>
        <w:t>Не купуйте продукти харчування в місцях стихійної торгівлі;</w:t>
      </w:r>
    </w:p>
    <w:p w14:paraId="005A8CDF" w14:textId="77777777" w:rsidR="0082530D" w:rsidRPr="00F75949" w:rsidRDefault="00421E15">
      <w:pPr>
        <w:numPr>
          <w:ilvl w:val="0"/>
          <w:numId w:val="3"/>
        </w:numPr>
        <w:tabs>
          <w:tab w:val="left" w:pos="130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sz w:val="28"/>
          <w:szCs w:val="28"/>
        </w:rPr>
        <w:t>Не використовуйте для пиття, приготування їжі та миття посуду воду з незнайомих джерел водопостачання. Надайте перевагу лише безпечній бутильованій чи кип’яченій воді;</w:t>
      </w:r>
    </w:p>
    <w:p w14:paraId="2CDAF146" w14:textId="77777777" w:rsidR="0082530D" w:rsidRPr="00F75949" w:rsidRDefault="00421E15">
      <w:pPr>
        <w:pStyle w:val="a9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sz w:val="28"/>
          <w:szCs w:val="28"/>
        </w:rPr>
        <w:t>Перед споживанням овочів, фруктів та ягід їх необхідно добре</w:t>
      </w:r>
    </w:p>
    <w:p w14:paraId="6666CEFD" w14:textId="2BD66A48" w:rsidR="0082530D" w:rsidRPr="00F75949" w:rsidRDefault="00421E15">
      <w:pPr>
        <w:pStyle w:val="a9"/>
        <w:ind w:left="786"/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sz w:val="28"/>
          <w:szCs w:val="28"/>
        </w:rPr>
        <w:t>промити проточною водою, для споживання дітьми – обдати окропом;</w:t>
      </w:r>
    </w:p>
    <w:p w14:paraId="111FAFDB" w14:textId="77777777" w:rsidR="0082530D" w:rsidRPr="00F75949" w:rsidRDefault="00421E15">
      <w:pPr>
        <w:pStyle w:val="a9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5949">
        <w:rPr>
          <w:rFonts w:ascii="Arial" w:hAnsi="Arial" w:cs="Arial"/>
          <w:sz w:val="28"/>
          <w:szCs w:val="28"/>
        </w:rPr>
        <w:t>При приготуванні страв дотримуйтесь правил термічної обробки.</w:t>
      </w:r>
    </w:p>
    <w:p w14:paraId="07AA2646" w14:textId="77777777" w:rsidR="0082530D" w:rsidRPr="00F75949" w:rsidRDefault="00421E15" w:rsidP="00F75949">
      <w:pPr>
        <w:spacing w:after="0" w:line="276" w:lineRule="auto"/>
        <w:ind w:left="142" w:firstLine="851"/>
        <w:jc w:val="center"/>
        <w:rPr>
          <w:rFonts w:ascii="Arial" w:hAnsi="Arial" w:cs="Arial"/>
          <w:b/>
          <w:bCs/>
          <w:sz w:val="28"/>
          <w:szCs w:val="28"/>
        </w:rPr>
      </w:pPr>
      <w:r w:rsidRPr="00F75949">
        <w:rPr>
          <w:rFonts w:ascii="Arial" w:hAnsi="Arial" w:cs="Arial"/>
          <w:b/>
          <w:bCs/>
          <w:sz w:val="28"/>
          <w:szCs w:val="28"/>
        </w:rPr>
        <w:t>У разі появи симптомів захворювання — негайно зверніться до лікаря.</w:t>
      </w:r>
    </w:p>
    <w:p w14:paraId="6219A82A" w14:textId="77777777" w:rsidR="0082530D" w:rsidRPr="00E277B5" w:rsidRDefault="0082530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</w:p>
    <w:sectPr w:rsidR="0082530D" w:rsidRPr="00E277B5">
      <w:pgSz w:w="11906" w:h="16838"/>
      <w:pgMar w:top="850" w:right="850" w:bottom="116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erta">
    <w:altName w:val="Calibri"/>
    <w:charset w:val="01"/>
    <w:family w:val="modern"/>
    <w:pitch w:val="variable"/>
  </w:font>
  <w:font w:name="DejaVu Sans"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6ABB"/>
    <w:multiLevelType w:val="multilevel"/>
    <w:tmpl w:val="C3FC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447325AD"/>
    <w:multiLevelType w:val="multilevel"/>
    <w:tmpl w:val="51B64E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BF28A0"/>
    <w:multiLevelType w:val="multilevel"/>
    <w:tmpl w:val="68C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64E978E6"/>
    <w:multiLevelType w:val="multilevel"/>
    <w:tmpl w:val="D6C2627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94487256">
    <w:abstractNumId w:val="0"/>
  </w:num>
  <w:num w:numId="2" w16cid:durableId="1863203741">
    <w:abstractNumId w:val="2"/>
  </w:num>
  <w:num w:numId="3" w16cid:durableId="1557467635">
    <w:abstractNumId w:val="3"/>
  </w:num>
  <w:num w:numId="4" w16cid:durableId="522979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1134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0D"/>
    <w:rsid w:val="002F6A23"/>
    <w:rsid w:val="00421E15"/>
    <w:rsid w:val="004830CB"/>
    <w:rsid w:val="0082530D"/>
    <w:rsid w:val="00E277B5"/>
    <w:rsid w:val="00F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047382"/>
  <w15:docId w15:val="{3A3A17A0-1114-45E4-A2A5-BBC70CB9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2D357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2D357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2D403D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3287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2D35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юлия дудко</cp:lastModifiedBy>
  <cp:revision>2</cp:revision>
  <dcterms:created xsi:type="dcterms:W3CDTF">2025-06-12T11:42:00Z</dcterms:created>
  <dcterms:modified xsi:type="dcterms:W3CDTF">2025-06-12T11:42:00Z</dcterms:modified>
  <dc:language>uk-UA</dc:language>
</cp:coreProperties>
</file>