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5C4E" w14:paraId="5055C5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9CB844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E5C4E" w14:paraId="40E15B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7FB29C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14.01.2026 11:30:55 </w:t>
            </w:r>
          </w:p>
          <w:p w14:paraId="0EF3B9A8" w14:textId="77777777" w:rsid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припинення договору на право ідеальної частки в користуванні земельною ділянкою з гр. ГАЖІЙСЬКОЮ О.П. </w:t>
            </w:r>
          </w:p>
          <w:p w14:paraId="3726113D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A701545" w14:textId="77777777" w:rsid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405DB8A" w14:textId="1627B564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знят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тя</w:t>
            </w: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проєкт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у</w:t>
            </w: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рішення з розгляду для доопрацювання з урахуванням зауважень до проєкту рішення.</w:t>
            </w:r>
          </w:p>
          <w:p w14:paraId="0FC40451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Проєкт рішення «Про припинення договору на право ідеальної частки в користуванні земельною ділянкою» є неправомірним і не може бути прийнятий, оскільки він суперечить базовим нормам чинного законодавства України та приймається з перевищенням повноважень міської ради.</w:t>
            </w:r>
          </w:p>
          <w:p w14:paraId="6DE66054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По-перше, у Земельному кодексі України не існує такого права, як “ідеальна частка в користуванні земельною ділянкою”. Земельна ділянка є єдиним об’єктом права, а поділ на ідеальні частки можливий лише у праві власності, а не у праві користування (статті 79¹, 86, 92, 93 Земельного кодексу України). Відповідно, міська рада фактично намагається припинити право, яке не передбачене законом.</w:t>
            </w:r>
          </w:p>
          <w:p w14:paraId="3A0A6C9A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По-друге, міська рада не має повноважень припиняти цивільно-правові договори своїм рішенням. Договори припиняються або за згодою сторін, або за рішенням суду (статті 626, 651 Цивільного кодексу України). Жодна норма Закону України «Про місцеве самоврядування в Україні» не надає раді права односторонньо розривати договори користування землею. Таким чином, прийняття такого рішення порушує статтю 19 Конституції України, яка зобов’язує органи місцевого самоврядування діяти лише в межах повноважень.</w:t>
            </w:r>
          </w:p>
          <w:p w14:paraId="3CF533FA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По-третє, посилання у проєкті рішення на факт відчуження будівлі не є законною підставою для припинення користування земельною ділянкою. За законом, у разі переходу права власності на будівлю право користування земельною ділянкою переходить до нового власника автоматично, а не припиняється (стаття 120 Земельного кодексу України, стаття 377 Цивільного кодексу України). Проєкт рішення повністю ігнорує цей механізм правонаступництва.</w:t>
            </w:r>
          </w:p>
          <w:p w14:paraId="25D7C41B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По-четверте, Земельний кодекс України чітко визначає підстави і порядок припинення права користування землею (статті 141, 142 ЗК України). У проєкті рішення ці норми не застосовані, а припинення здійснюється адміністративним актом без дотримання встановленої законом процедури.</w:t>
            </w:r>
          </w:p>
          <w:p w14:paraId="618B01D2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Таким чином, проєкт рішення не відповідає вимогам чинного законодавства України саме з підстав перевищення повноважень міської ради. Орган місцевого самоврядування, приймаючи дане рішення, виходить за межі наданої йому законом компетенції, оскільки </w:t>
            </w: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lastRenderedPageBreak/>
              <w:t>самостійно, адміністративним актом, припиняє договірні та речові права користування земельною ділянкою, що прямо не передбачено ні Земельним кодексом України, ні Цивільним кодексом України, ні Законом України «Про місцеве самоврядування в Україні».</w:t>
            </w:r>
          </w:p>
          <w:p w14:paraId="2CD1B01B" w14:textId="77777777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Міська рада фактично підміняє собою суд та сторони цивільно-правового договору, самовільно вирішуючи питання припинення права користування землею, що відповідно до статті 19 Конституції України є недопустимим, оскільки органи місцевого самоврядування зобов’язані діяти виключно в межах повноважень та у спосіб, визначені законом.</w:t>
            </w:r>
          </w:p>
          <w:p w14:paraId="1649116B" w14:textId="035DB4FC" w:rsidR="00611277" w:rsidRPr="00611277" w:rsidRDefault="00611277" w:rsidP="00611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11277">
              <w:rPr>
                <w:rFonts w:ascii="Courier New" w:hAnsi="Courier New" w:cs="Courier New"/>
                <w:sz w:val="22"/>
                <w:szCs w:val="22"/>
                <w:lang w:val="uk-UA"/>
              </w:rPr>
              <w:t>За таких обставин прийняття даного проєкту рішення означатиме не реалізацію повноважень міської ради, а їх перевищення.</w:t>
            </w:r>
          </w:p>
          <w:p w14:paraId="48ECD62D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- 7 Проти - 0 Утрималися - 0 Не голосували - 21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208337CD" w14:textId="77777777" w:rsidR="00611277" w:rsidRDefault="00611277" w:rsidP="0061127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E5C4E" w14:paraId="5CEFF9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070B0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- 8 Відсутні - 4 </w:t>
            </w:r>
          </w:p>
        </w:tc>
      </w:tr>
      <w:tr w:rsidR="00CE5C4E" w14:paraId="59D7EDD6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58E7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6D0B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17E34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3718D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5C4E" w14:paraId="3F5D724E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C0CBF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1EBB4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C3CF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AE0C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5D5B998F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6EF87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FFC0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4D7F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EBBE8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5C4E" w14:paraId="4321C12C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EDA78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FE711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036D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5A54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6E95DC86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C99EB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9732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4AF5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8475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59948373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9F90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44D6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A2E8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8B1AA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6F7F540B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3B190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FB28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107B7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1B81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5B4E9D80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80B1B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ECDDE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30CAD4C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60F974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5C4E" w14:paraId="157ABD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D177B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5C4E" w14:paraId="32D13A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B5038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CE5C4E" w14:paraId="02D4AF91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E73F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454E0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8F66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1D63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51207256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FF337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25EE5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F66D5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8EBF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5C4E" w14:paraId="50B7BB8E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F3BC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47E9A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E9E72F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56DF0C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5C4E" w14:paraId="136364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31B84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5C4E" w14:paraId="4B2713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52346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- 0 </w:t>
            </w:r>
          </w:p>
        </w:tc>
      </w:tr>
      <w:tr w:rsidR="00CE5C4E" w14:paraId="7C0DEB0D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D154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6E41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849C0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221F7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45BD2D28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F485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6D36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8C6D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04D2A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3D79C7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A3CC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5C4E" w14:paraId="02BF09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852D9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- 7 Відсутні - 0 </w:t>
            </w:r>
          </w:p>
        </w:tc>
      </w:tr>
      <w:tr w:rsidR="00CE5C4E" w14:paraId="4872D0C4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3B657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727B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C391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68FAD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13C54747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FBED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98E4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448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8E4FA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74D6979A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C3D65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C13ED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52278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8385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E5C4E" w14:paraId="102A2C78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2F703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28E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2C6CCE3B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07CA1" w14:textId="77777777" w:rsidR="00611277" w:rsidRDefault="00611277" w:rsidP="00611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5C4E" w14:paraId="2C2C13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8B45C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5C4E" w14:paraId="3D7B7C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87273" w14:textId="77777777" w:rsidR="00611277" w:rsidRDefault="00611277" w:rsidP="00611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CE5C4E" w14:paraId="0B06D9AE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4882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7F511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1702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88659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E5C4E" w14:paraId="49F0FCCF" w14:textId="77777777" w:rsidTr="004D6A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9A2E2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A7431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86F91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CD981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5C4E" w14:paraId="79CA4B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F6DF6" w14:textId="77777777" w:rsidR="00611277" w:rsidRDefault="00611277" w:rsidP="00611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9FC4B5" w14:textId="77777777" w:rsidR="004D6AD5" w:rsidRDefault="004D6AD5" w:rsidP="004D6AD5">
      <w:pPr>
        <w:spacing w:line="276" w:lineRule="auto"/>
        <w:rPr>
          <w:lang w:val="uk-UA"/>
        </w:rPr>
      </w:pPr>
    </w:p>
    <w:p w14:paraId="114A3F6E" w14:textId="77777777" w:rsidR="004D6AD5" w:rsidRDefault="004D6AD5" w:rsidP="004D6AD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870131C" w14:textId="77777777" w:rsidR="004D6AD5" w:rsidRDefault="004D6AD5" w:rsidP="004D6AD5">
      <w:pPr>
        <w:spacing w:line="276" w:lineRule="auto"/>
        <w:rPr>
          <w:rFonts w:ascii="Courier New" w:hAnsi="Courier New" w:cs="Courier New"/>
          <w:lang w:val="uk-UA"/>
        </w:rPr>
      </w:pPr>
    </w:p>
    <w:p w14:paraId="2E9A0332" w14:textId="77777777" w:rsidR="004D6AD5" w:rsidRDefault="004D6AD5" w:rsidP="004D6AD5">
      <w:pPr>
        <w:spacing w:line="276" w:lineRule="auto"/>
        <w:rPr>
          <w:rFonts w:ascii="Courier New" w:hAnsi="Courier New" w:cs="Courier New"/>
          <w:lang w:val="uk-UA"/>
        </w:rPr>
      </w:pPr>
    </w:p>
    <w:p w14:paraId="60B61B76" w14:textId="65796FD3" w:rsidR="00611277" w:rsidRDefault="004D6AD5" w:rsidP="004D6AD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11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77"/>
    <w:rsid w:val="00416947"/>
    <w:rsid w:val="004D6AD5"/>
    <w:rsid w:val="00611277"/>
    <w:rsid w:val="00CE5C4E"/>
    <w:rsid w:val="00F2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7E23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2026-01-14T12:31:00Z</dcterms:created>
  <dcterms:modified xsi:type="dcterms:W3CDTF">2026-01-14T13:19:00Z</dcterms:modified>
</cp:coreProperties>
</file>