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CE4C" w14:textId="77777777" w:rsidR="00D3357E" w:rsidRPr="000A0584" w:rsidRDefault="00D3357E" w:rsidP="00D335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584">
        <w:rPr>
          <w:rFonts w:ascii="Times New Roman" w:hAnsi="Times New Roman" w:cs="Times New Roman"/>
          <w:b/>
          <w:bCs/>
          <w:sz w:val="28"/>
          <w:szCs w:val="28"/>
        </w:rPr>
        <w:t>ВСТУП</w:t>
      </w:r>
    </w:p>
    <w:p w14:paraId="6B861911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стратегічну екологічну оцінку» (№354-VIII від 20.03.2018) для документів державного планування, у тому числі для детального плану території, повинна </w:t>
      </w:r>
      <w:proofErr w:type="spellStart"/>
      <w:r w:rsidRPr="000A0584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0A0584">
        <w:rPr>
          <w:rFonts w:ascii="Times New Roman" w:hAnsi="Times New Roman" w:cs="Times New Roman"/>
          <w:sz w:val="28"/>
          <w:szCs w:val="28"/>
        </w:rPr>
        <w:t xml:space="preserve"> стратегічна екологічна оцінка.</w:t>
      </w:r>
    </w:p>
    <w:p w14:paraId="127C8AC1" w14:textId="2D83DD11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Проект «</w:t>
      </w:r>
      <w:r w:rsidR="00715AD8" w:rsidRPr="00715AD8">
        <w:rPr>
          <w:rFonts w:ascii="Times New Roman" w:eastAsia="Times New Roman" w:hAnsi="Times New Roman" w:cs="Times New Roman"/>
          <w:sz w:val="28"/>
          <w:szCs w:val="28"/>
        </w:rPr>
        <w:t xml:space="preserve">Детального плану території </w:t>
      </w:r>
      <w:r w:rsidR="00715AD8" w:rsidRPr="00715AD8">
        <w:rPr>
          <w:rFonts w:ascii="Times New Roman" w:hAnsi="Times New Roman" w:cs="Times New Roman"/>
          <w:sz w:val="28"/>
          <w:szCs w:val="28"/>
        </w:rPr>
        <w:t xml:space="preserve">для будівництва терміналу перевантаження енергоносіїв, на території </w:t>
      </w:r>
      <w:proofErr w:type="spellStart"/>
      <w:r w:rsidR="00715AD8" w:rsidRPr="00715AD8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715AD8" w:rsidRPr="00715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AD8" w:rsidRPr="00715AD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715AD8" w:rsidRPr="00715AD8">
        <w:rPr>
          <w:rFonts w:ascii="Times New Roman" w:hAnsi="Times New Roman" w:cs="Times New Roman"/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0A0584">
        <w:rPr>
          <w:rFonts w:ascii="Times New Roman" w:hAnsi="Times New Roman" w:cs="Times New Roman"/>
          <w:sz w:val="28"/>
          <w:szCs w:val="28"/>
        </w:rPr>
        <w:t xml:space="preserve">» був затверджений рішенням </w:t>
      </w:r>
      <w:r w:rsidR="00E2483C" w:rsidRPr="000A4B39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 №46/72 від 26 лютого 2024 року «Про надання дозволу на розроблення детального плану території»</w:t>
      </w:r>
      <w:r w:rsidRPr="000A4B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E3BF0A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Закон України «Про стратегічну екологічну оцінку» встановлює необхідність здійснення моніторингу наслідків виконання документу державного планування для довкілля, у тому числі для здоров'я населення (ст.17). Моніторинг здійснюється з метою виявлення наслідків виконання документа державного планування для довкілля, у тому числі для здоров'я населення, забезпечення здійснення заходів із запобігання, зменшення та пом'якшення негативних наслідків виконання документа державного планування, а також у разі виявлення негативних наслідків, не передбачених звітом про стратегічну екологічну оцінку, вжиття заходів для їх усунення.</w:t>
      </w:r>
    </w:p>
    <w:p w14:paraId="1224D3ED" w14:textId="77777777" w:rsidR="00D3357E" w:rsidRPr="000A0584" w:rsidRDefault="00D3357E" w:rsidP="00D3357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0584">
        <w:rPr>
          <w:sz w:val="28"/>
          <w:szCs w:val="28"/>
        </w:rPr>
        <w:t>Для здійснення моніторингу замовник документа державного планування (далі - замовник) розробляє заходи з урахуванням результатів громадського обговорення, консультацій з органами виконавчої влади у процесі проведення стратегічної екологічної оцінки та транскордонних консультацій (у разі їх проведення). Здійснення таких заходів забезпечує можливість:</w:t>
      </w:r>
    </w:p>
    <w:p w14:paraId="29E2F727" w14:textId="77777777" w:rsidR="00D3357E" w:rsidRPr="000A0584" w:rsidRDefault="00D3357E" w:rsidP="00D3357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bookmarkStart w:id="0" w:name="n16"/>
      <w:bookmarkEnd w:id="0"/>
      <w:r w:rsidRPr="000A0584">
        <w:rPr>
          <w:sz w:val="28"/>
          <w:szCs w:val="28"/>
        </w:rPr>
        <w:t>виявлення наслідків виконання документа державного планування для довкілля, у тому числі для здоров’я населення, а саме вторинних, кумулятивних, синергічних, коротко-, середньо- та довгострокових (на один, три-п’ять, 10-15 років, 50-100 років відповідно), постійних і тимчасових, позитивних і негативних наслідків;</w:t>
      </w:r>
      <w:bookmarkStart w:id="1" w:name="n17"/>
      <w:bookmarkEnd w:id="1"/>
    </w:p>
    <w:p w14:paraId="033054A9" w14:textId="77777777" w:rsidR="00D3357E" w:rsidRPr="000A0584" w:rsidRDefault="00D3357E" w:rsidP="00D3357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A0584">
        <w:rPr>
          <w:sz w:val="28"/>
          <w:szCs w:val="28"/>
        </w:rPr>
        <w:t>запобігання, зменшення та компенсації негативних наслідків, зумовлених виконанням документа державного планування;</w:t>
      </w:r>
      <w:bookmarkStart w:id="2" w:name="n18"/>
      <w:bookmarkEnd w:id="2"/>
    </w:p>
    <w:p w14:paraId="702C816D" w14:textId="77777777" w:rsidR="00D3357E" w:rsidRPr="000A0584" w:rsidRDefault="00D3357E" w:rsidP="00D3357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A0584">
        <w:rPr>
          <w:sz w:val="28"/>
          <w:szCs w:val="28"/>
        </w:rPr>
        <w:t>виявлення не передбачених звітом про стратегічну екологічну оцінку негативних наслідків виконання документа державного планування для довкілля, у тому числі для здоров’я населення.</w:t>
      </w:r>
    </w:p>
    <w:p w14:paraId="766E2EFA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0D31D1" w14:textId="6F677249" w:rsidR="00D3357E" w:rsidRPr="00B930DF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584">
        <w:rPr>
          <w:rFonts w:ascii="Times New Roman" w:hAnsi="Times New Roman" w:cs="Times New Roman"/>
          <w:b/>
          <w:bCs/>
          <w:sz w:val="28"/>
          <w:szCs w:val="28"/>
        </w:rPr>
        <w:t xml:space="preserve">1. Ймовірні наслідки для довкілля, в тому числі для здоров’я населення, зазначені у Звіті про стратегічну екологічну оцінку Проекту </w:t>
      </w:r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30DF" w:rsidRPr="00B93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Детального плану території </w:t>
      </w:r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 xml:space="preserve">для будівництва терміналу перевантаження енергоносіїв, на території </w:t>
      </w:r>
      <w:proofErr w:type="spellStart"/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>Римачівського</w:t>
      </w:r>
      <w:proofErr w:type="spellEnd"/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="00B930DF" w:rsidRPr="00B930DF">
        <w:rPr>
          <w:rFonts w:ascii="Times New Roman" w:hAnsi="Times New Roman" w:cs="Times New Roman"/>
          <w:b/>
          <w:bCs/>
          <w:sz w:val="28"/>
          <w:szCs w:val="28"/>
        </w:rPr>
        <w:t xml:space="preserve"> округу Вишнівської сільської ради Ковельського району Волинської області»</w:t>
      </w:r>
    </w:p>
    <w:p w14:paraId="213D08A7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стратегічну екологічну оцінку» (ст.11) звіт про стратегічну екологічну оцінку повинен містити, зокрема, опис ймовірних наслідків для довкілля, у тому числі для здоров'я населення, у тому числі вторинних, кумулятивних, синергічних, коротко-, середньо- та </w:t>
      </w:r>
      <w:r w:rsidRPr="000A0584">
        <w:rPr>
          <w:rFonts w:ascii="Times New Roman" w:hAnsi="Times New Roman" w:cs="Times New Roman"/>
          <w:sz w:val="28"/>
          <w:szCs w:val="28"/>
        </w:rPr>
        <w:lastRenderedPageBreak/>
        <w:t>довгострокових (1, 3-5 та 10-15 років відповідно, а за необхідності - 50-100 років), постійних і тимчасових, позитивних і негативних наслідків.</w:t>
      </w:r>
    </w:p>
    <w:p w14:paraId="3D81AD89" w14:textId="10123C74" w:rsidR="00D3357E" w:rsidRPr="006A139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 xml:space="preserve">У «Звіті про стратегічну </w:t>
      </w:r>
      <w:r w:rsidRPr="006A1394">
        <w:rPr>
          <w:rFonts w:ascii="Times New Roman" w:hAnsi="Times New Roman" w:cs="Times New Roman"/>
          <w:sz w:val="28"/>
          <w:szCs w:val="28"/>
        </w:rPr>
        <w:t xml:space="preserve">екологічну оцінку </w:t>
      </w:r>
      <w:r w:rsidRPr="006A1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Проекту </w:t>
      </w:r>
      <w:r w:rsidRPr="006A1394">
        <w:rPr>
          <w:rFonts w:ascii="Times New Roman" w:hAnsi="Times New Roman" w:cs="Times New Roman"/>
          <w:sz w:val="28"/>
          <w:szCs w:val="28"/>
        </w:rPr>
        <w:t>«</w:t>
      </w:r>
      <w:r w:rsidR="006A1394" w:rsidRPr="006A1394">
        <w:rPr>
          <w:rFonts w:ascii="Times New Roman" w:eastAsia="Times New Roman" w:hAnsi="Times New Roman" w:cs="Times New Roman"/>
          <w:sz w:val="28"/>
          <w:szCs w:val="28"/>
        </w:rPr>
        <w:t xml:space="preserve">Детального плану території </w:t>
      </w:r>
      <w:r w:rsidR="006A1394" w:rsidRPr="006A1394">
        <w:rPr>
          <w:rFonts w:ascii="Times New Roman" w:hAnsi="Times New Roman" w:cs="Times New Roman"/>
          <w:sz w:val="28"/>
          <w:szCs w:val="28"/>
        </w:rPr>
        <w:t xml:space="preserve">для будівництва терміналу перевантаження енергоносіїв, на території </w:t>
      </w:r>
      <w:proofErr w:type="spellStart"/>
      <w:r w:rsidR="006A1394" w:rsidRPr="006A1394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6A1394" w:rsidRPr="006A1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94" w:rsidRPr="006A139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A1394" w:rsidRPr="006A1394">
        <w:rPr>
          <w:rFonts w:ascii="Times New Roman" w:hAnsi="Times New Roman" w:cs="Times New Roman"/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6A1394">
        <w:rPr>
          <w:rFonts w:ascii="Times New Roman" w:hAnsi="Times New Roman" w:cs="Times New Roman"/>
          <w:sz w:val="28"/>
          <w:szCs w:val="28"/>
        </w:rPr>
        <w:t>» були визначені наслідки для довкілля, у тому числі для здоров’я населення, які ймовірно можуть мати місце внаслідок реалізації Плану заходів.</w:t>
      </w:r>
    </w:p>
    <w:p w14:paraId="32EB2375" w14:textId="4682567E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Ймовірні наслідки для довкілля, у тому числі для здоров’я населення, від реалізації документа державного планування визначалися для</w:t>
      </w:r>
      <w:r w:rsidR="0071744C">
        <w:rPr>
          <w:rFonts w:ascii="Times New Roman" w:hAnsi="Times New Roman" w:cs="Times New Roman"/>
          <w:sz w:val="28"/>
          <w:szCs w:val="28"/>
        </w:rPr>
        <w:t xml:space="preserve"> </w:t>
      </w:r>
      <w:r w:rsidR="00E6193A">
        <w:rPr>
          <w:rFonts w:ascii="Times New Roman" w:hAnsi="Times New Roman" w:cs="Times New Roman"/>
          <w:sz w:val="28"/>
          <w:szCs w:val="28"/>
        </w:rPr>
        <w:t>об’єктів дорожнього сервісу</w:t>
      </w:r>
      <w:r w:rsidRPr="000A0584">
        <w:rPr>
          <w:rFonts w:ascii="Times New Roman" w:hAnsi="Times New Roman" w:cs="Times New Roman"/>
          <w:sz w:val="28"/>
          <w:szCs w:val="28"/>
        </w:rPr>
        <w:t>.</w:t>
      </w:r>
    </w:p>
    <w:p w14:paraId="01BC0C4F" w14:textId="768B860D" w:rsidR="00D3357E" w:rsidRPr="00700027" w:rsidRDefault="00D3357E" w:rsidP="0070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27">
        <w:rPr>
          <w:rFonts w:ascii="Times New Roman" w:hAnsi="Times New Roman" w:cs="Times New Roman"/>
          <w:sz w:val="28"/>
          <w:szCs w:val="28"/>
        </w:rPr>
        <w:t xml:space="preserve">Зазначалося, що реалізація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 xml:space="preserve"> не матиме значного впливу на довкілля і здоров’я населення. Очікувалося, що реалізація не вплине на культурну спадщину, геологічне середовище, безпеку життєдіяльності та здоров’я населення. Під час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експлуатаціі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 xml:space="preserve">̈ вплив на ґрунт буде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зведении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 xml:space="preserve">̆ до </w:t>
      </w:r>
      <w:r w:rsidR="0071744C" w:rsidRPr="00700027">
        <w:rPr>
          <w:rFonts w:ascii="Times New Roman" w:hAnsi="Times New Roman" w:cs="Times New Roman"/>
          <w:sz w:val="28"/>
          <w:szCs w:val="28"/>
        </w:rPr>
        <w:t>мінімуму</w:t>
      </w:r>
      <w:r w:rsidRPr="00700027">
        <w:rPr>
          <w:rFonts w:ascii="Times New Roman" w:hAnsi="Times New Roman" w:cs="Times New Roman"/>
          <w:sz w:val="28"/>
          <w:szCs w:val="28"/>
        </w:rPr>
        <w:t>.</w:t>
      </w:r>
      <w:r w:rsidR="0071744C" w:rsidRPr="00700027">
        <w:rPr>
          <w:rFonts w:ascii="Times New Roman" w:hAnsi="Times New Roman" w:cs="Times New Roman"/>
          <w:sz w:val="28"/>
          <w:szCs w:val="28"/>
        </w:rPr>
        <w:t xml:space="preserve"> </w:t>
      </w:r>
      <w:r w:rsidRPr="00700027">
        <w:rPr>
          <w:rFonts w:ascii="Times New Roman" w:hAnsi="Times New Roman" w:cs="Times New Roman"/>
          <w:sz w:val="28"/>
          <w:szCs w:val="28"/>
        </w:rPr>
        <w:t xml:space="preserve">Значних і незворотних змін в екосистемі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дослідженоі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територіі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 xml:space="preserve">̈ в результаті будівництва об’єкту </w:t>
      </w:r>
      <w:proofErr w:type="spellStart"/>
      <w:r w:rsidRPr="00700027">
        <w:rPr>
          <w:rFonts w:ascii="Times New Roman" w:hAnsi="Times New Roman" w:cs="Times New Roman"/>
          <w:sz w:val="28"/>
          <w:szCs w:val="28"/>
        </w:rPr>
        <w:t>плановоі</w:t>
      </w:r>
      <w:proofErr w:type="spellEnd"/>
      <w:r w:rsidRPr="00700027">
        <w:rPr>
          <w:rFonts w:ascii="Times New Roman" w:hAnsi="Times New Roman" w:cs="Times New Roman"/>
          <w:sz w:val="28"/>
          <w:szCs w:val="28"/>
        </w:rPr>
        <w:t>̈ діяльності не прогнозується.</w:t>
      </w:r>
    </w:p>
    <w:p w14:paraId="2630ED25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Відзначалося, що реалізація ймовірно матиме тимчасові негативні наслідки, а саме:</w:t>
      </w:r>
    </w:p>
    <w:p w14:paraId="3E0671FF" w14:textId="77777777" w:rsidR="00D3357E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- збільшення викидів забруднюючих речовин в атмосферне повітря під час будівельно-монтажних робіт та від пересувних джерел (транспорту);</w:t>
      </w:r>
    </w:p>
    <w:p w14:paraId="3580673B" w14:textId="12BC5338" w:rsidR="00F24642" w:rsidRPr="000A0584" w:rsidRDefault="00F24642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00027">
        <w:rPr>
          <w:rFonts w:ascii="Times New Roman" w:hAnsi="Times New Roman" w:cs="Times New Roman"/>
          <w:sz w:val="28"/>
          <w:szCs w:val="28"/>
          <w:lang w:val="ru-RU"/>
        </w:rPr>
        <w:t>роведення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тимчасово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поверхневих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вод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завислими</w:t>
      </w:r>
      <w:proofErr w:type="spellEnd"/>
      <w:r w:rsidRPr="00700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27">
        <w:rPr>
          <w:rFonts w:ascii="Times New Roman" w:hAnsi="Times New Roman" w:cs="Times New Roman"/>
          <w:sz w:val="28"/>
          <w:szCs w:val="28"/>
          <w:lang w:val="ru-RU"/>
        </w:rPr>
        <w:t>речовинами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500E0B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- негативний вплив на ґрунти внаслідок будівництва об’єктів;</w:t>
      </w:r>
    </w:p>
    <w:p w14:paraId="52377DA2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- механічне порушення рослинного покриву в період будівництва.</w:t>
      </w:r>
    </w:p>
    <w:p w14:paraId="35DB8E30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Суттєвих наслідків для довкілля, в тому числі здоров’я населення, не передбачалося.</w:t>
      </w:r>
    </w:p>
    <w:p w14:paraId="42EA9537" w14:textId="77777777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6B2749" w14:textId="1BF29EA4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0A0584">
        <w:rPr>
          <w:b/>
          <w:bCs/>
          <w:sz w:val="28"/>
          <w:szCs w:val="28"/>
        </w:rPr>
        <w:t>2. Моніторинг наслідків реалізації Проекту «</w:t>
      </w:r>
      <w:r w:rsidR="005E5D05" w:rsidRPr="00B930DF">
        <w:rPr>
          <w:b/>
          <w:bCs/>
          <w:sz w:val="28"/>
          <w:szCs w:val="28"/>
        </w:rPr>
        <w:t xml:space="preserve">Детального плану території для будівництва терміналу перевантаження енергоносіїв, на території </w:t>
      </w:r>
      <w:proofErr w:type="spellStart"/>
      <w:r w:rsidR="005E5D05" w:rsidRPr="00B930DF">
        <w:rPr>
          <w:b/>
          <w:bCs/>
          <w:sz w:val="28"/>
          <w:szCs w:val="28"/>
        </w:rPr>
        <w:t>Римачівського</w:t>
      </w:r>
      <w:proofErr w:type="spellEnd"/>
      <w:r w:rsidR="005E5D05" w:rsidRPr="00B930DF">
        <w:rPr>
          <w:b/>
          <w:bCs/>
          <w:sz w:val="28"/>
          <w:szCs w:val="28"/>
        </w:rPr>
        <w:t xml:space="preserve"> </w:t>
      </w:r>
      <w:proofErr w:type="spellStart"/>
      <w:r w:rsidR="005E5D05" w:rsidRPr="00B930DF">
        <w:rPr>
          <w:b/>
          <w:bCs/>
          <w:sz w:val="28"/>
          <w:szCs w:val="28"/>
        </w:rPr>
        <w:t>старостинського</w:t>
      </w:r>
      <w:proofErr w:type="spellEnd"/>
      <w:r w:rsidR="005E5D05" w:rsidRPr="00B930DF">
        <w:rPr>
          <w:b/>
          <w:bCs/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0A0584">
        <w:rPr>
          <w:b/>
          <w:bCs/>
          <w:sz w:val="28"/>
          <w:szCs w:val="28"/>
        </w:rPr>
        <w:t>»</w:t>
      </w:r>
    </w:p>
    <w:p w14:paraId="75CF0038" w14:textId="77777777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0584">
        <w:rPr>
          <w:sz w:val="28"/>
          <w:szCs w:val="28"/>
        </w:rPr>
        <w:t xml:space="preserve">Моніторинг наслідків виконання документа державного планування є важливим для забезпечення реалізації </w:t>
      </w:r>
      <w:proofErr w:type="spellStart"/>
      <w:r w:rsidRPr="000A0584">
        <w:rPr>
          <w:sz w:val="28"/>
          <w:szCs w:val="28"/>
        </w:rPr>
        <w:t>проєкту</w:t>
      </w:r>
      <w:proofErr w:type="spellEnd"/>
      <w:r w:rsidRPr="000A0584">
        <w:rPr>
          <w:sz w:val="28"/>
          <w:szCs w:val="28"/>
        </w:rPr>
        <w:t xml:space="preserve"> з мінімальним впливом на довкілля та здоров’я населення. </w:t>
      </w:r>
    </w:p>
    <w:p w14:paraId="21486958" w14:textId="744C41EB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0584">
        <w:rPr>
          <w:sz w:val="28"/>
          <w:szCs w:val="28"/>
        </w:rPr>
        <w:t xml:space="preserve">Наслідки реалізації Проекту </w:t>
      </w:r>
      <w:r w:rsidRPr="006055B2">
        <w:rPr>
          <w:sz w:val="28"/>
          <w:szCs w:val="28"/>
        </w:rPr>
        <w:t>«</w:t>
      </w:r>
      <w:r w:rsidR="006055B2" w:rsidRPr="006055B2">
        <w:rPr>
          <w:sz w:val="28"/>
          <w:szCs w:val="28"/>
        </w:rPr>
        <w:t xml:space="preserve">Детального плану території для будівництва терміналу перевантаження енергоносіїв, на території </w:t>
      </w:r>
      <w:proofErr w:type="spellStart"/>
      <w:r w:rsidR="006055B2" w:rsidRPr="006055B2">
        <w:rPr>
          <w:sz w:val="28"/>
          <w:szCs w:val="28"/>
        </w:rPr>
        <w:t>Римачівського</w:t>
      </w:r>
      <w:proofErr w:type="spellEnd"/>
      <w:r w:rsidR="006055B2" w:rsidRPr="006055B2">
        <w:rPr>
          <w:sz w:val="28"/>
          <w:szCs w:val="28"/>
        </w:rPr>
        <w:t xml:space="preserve"> </w:t>
      </w:r>
      <w:proofErr w:type="spellStart"/>
      <w:r w:rsidR="006055B2" w:rsidRPr="006055B2">
        <w:rPr>
          <w:sz w:val="28"/>
          <w:szCs w:val="28"/>
        </w:rPr>
        <w:t>старостинського</w:t>
      </w:r>
      <w:proofErr w:type="spellEnd"/>
      <w:r w:rsidR="006055B2" w:rsidRPr="006055B2">
        <w:rPr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6055B2">
        <w:rPr>
          <w:sz w:val="28"/>
          <w:szCs w:val="28"/>
        </w:rPr>
        <w:t>»</w:t>
      </w:r>
      <w:r w:rsidRPr="000A0584">
        <w:rPr>
          <w:sz w:val="28"/>
          <w:szCs w:val="28"/>
        </w:rPr>
        <w:t xml:space="preserve"> визначалися відповідно до показників, передбачених для здійснення моніторингу наслідків реалізації цього документа.</w:t>
      </w:r>
    </w:p>
    <w:p w14:paraId="71FE1854" w14:textId="3F2877AA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584">
        <w:rPr>
          <w:rFonts w:ascii="Times New Roman" w:hAnsi="Times New Roman" w:cs="Times New Roman"/>
          <w:sz w:val="28"/>
          <w:szCs w:val="28"/>
        </w:rPr>
        <w:t>У розділі 9 «</w:t>
      </w:r>
      <w:r w:rsidRPr="000A0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Заходи, передбачені для здійснення моніторингу наслідків виконання документа державного планування для довкілля, у тому числі для здоров’я населення» Звіту про стратегічну екологічну оцінку </w:t>
      </w:r>
      <w:r w:rsidRPr="000A0584">
        <w:rPr>
          <w:rFonts w:ascii="Times New Roman" w:hAnsi="Times New Roman" w:cs="Times New Roman"/>
          <w:sz w:val="28"/>
          <w:szCs w:val="28"/>
        </w:rPr>
        <w:t>Проекту «</w:t>
      </w:r>
      <w:r w:rsidR="006055B2" w:rsidRPr="006055B2">
        <w:rPr>
          <w:rFonts w:ascii="Times New Roman" w:eastAsia="Times New Roman" w:hAnsi="Times New Roman" w:cs="Times New Roman"/>
          <w:sz w:val="28"/>
          <w:szCs w:val="28"/>
        </w:rPr>
        <w:t xml:space="preserve">Детального плану території </w:t>
      </w:r>
      <w:r w:rsidR="006055B2" w:rsidRPr="006055B2">
        <w:rPr>
          <w:rFonts w:ascii="Times New Roman" w:hAnsi="Times New Roman" w:cs="Times New Roman"/>
          <w:sz w:val="28"/>
          <w:szCs w:val="28"/>
        </w:rPr>
        <w:t xml:space="preserve">для будівництва терміналу перевантаження </w:t>
      </w:r>
      <w:r w:rsidR="006055B2" w:rsidRPr="006055B2">
        <w:rPr>
          <w:rFonts w:ascii="Times New Roman" w:hAnsi="Times New Roman" w:cs="Times New Roman"/>
          <w:sz w:val="28"/>
          <w:szCs w:val="28"/>
        </w:rPr>
        <w:lastRenderedPageBreak/>
        <w:t xml:space="preserve">енергоносіїв, на території </w:t>
      </w:r>
      <w:proofErr w:type="spellStart"/>
      <w:r w:rsidR="006055B2" w:rsidRPr="006055B2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6055B2" w:rsidRPr="0060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5B2" w:rsidRPr="006055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055B2" w:rsidRPr="006055B2">
        <w:rPr>
          <w:rFonts w:ascii="Times New Roman" w:hAnsi="Times New Roman" w:cs="Times New Roman"/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0A0584">
        <w:rPr>
          <w:rFonts w:ascii="Times New Roman" w:hAnsi="Times New Roman" w:cs="Times New Roman"/>
          <w:sz w:val="28"/>
          <w:szCs w:val="28"/>
        </w:rPr>
        <w:t xml:space="preserve">» </w:t>
      </w:r>
      <w:r w:rsidRPr="000A0584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зазначалося про необхідність моніторингу показників, описаних у таблиці 1.</w:t>
      </w:r>
    </w:p>
    <w:p w14:paraId="3BF833AB" w14:textId="77777777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BE3095A" w14:textId="1F929059" w:rsidR="00D3357E" w:rsidRPr="000A0584" w:rsidRDefault="00D3357E" w:rsidP="00D3357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A0584">
        <w:rPr>
          <w:i/>
          <w:iCs/>
          <w:sz w:val="28"/>
          <w:szCs w:val="28"/>
        </w:rPr>
        <w:t>Таблиця 1. Моніторинг наслідків виконання документа державного планування Проекту «</w:t>
      </w:r>
      <w:r w:rsidR="00221DEA" w:rsidRPr="00221DEA">
        <w:rPr>
          <w:i/>
          <w:iCs/>
          <w:sz w:val="28"/>
          <w:szCs w:val="28"/>
        </w:rPr>
        <w:t xml:space="preserve">Детального плану території для будівництва терміналу перевантаження енергоносіїв, на території </w:t>
      </w:r>
      <w:proofErr w:type="spellStart"/>
      <w:r w:rsidR="00221DEA" w:rsidRPr="00221DEA">
        <w:rPr>
          <w:i/>
          <w:iCs/>
          <w:sz w:val="28"/>
          <w:szCs w:val="28"/>
        </w:rPr>
        <w:t>Римачівського</w:t>
      </w:r>
      <w:proofErr w:type="spellEnd"/>
      <w:r w:rsidR="00221DEA" w:rsidRPr="00221DEA">
        <w:rPr>
          <w:i/>
          <w:iCs/>
          <w:sz w:val="28"/>
          <w:szCs w:val="28"/>
        </w:rPr>
        <w:t xml:space="preserve"> </w:t>
      </w:r>
      <w:proofErr w:type="spellStart"/>
      <w:r w:rsidR="00221DEA" w:rsidRPr="00221DEA">
        <w:rPr>
          <w:i/>
          <w:iCs/>
          <w:sz w:val="28"/>
          <w:szCs w:val="28"/>
        </w:rPr>
        <w:t>старостинського</w:t>
      </w:r>
      <w:proofErr w:type="spellEnd"/>
      <w:r w:rsidR="00221DEA" w:rsidRPr="00221DEA">
        <w:rPr>
          <w:i/>
          <w:iCs/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 w:rsidRPr="000A0584">
        <w:rPr>
          <w:i/>
          <w:i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8"/>
        <w:gridCol w:w="2388"/>
        <w:gridCol w:w="3119"/>
        <w:gridCol w:w="2120"/>
      </w:tblGrid>
      <w:tr w:rsidR="00D3357E" w:rsidRPr="000A0584" w14:paraId="4D29C645" w14:textId="77777777" w:rsidTr="00E3135A">
        <w:tc>
          <w:tcPr>
            <w:tcW w:w="1718" w:type="dxa"/>
            <w:shd w:val="clear" w:color="auto" w:fill="E2EFD9" w:themeFill="accent6" w:themeFillTint="33"/>
          </w:tcPr>
          <w:p w14:paraId="0FEAA08F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Об’єкт моніторингу</w:t>
            </w:r>
          </w:p>
        </w:tc>
        <w:tc>
          <w:tcPr>
            <w:tcW w:w="2388" w:type="dxa"/>
            <w:shd w:val="clear" w:color="auto" w:fill="E2EFD9" w:themeFill="accent6" w:themeFillTint="33"/>
          </w:tcPr>
          <w:p w14:paraId="371E3FC7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Параметри моніторингу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E81871E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Показники результативності</w:t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6A294ADC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Періодичність</w:t>
            </w:r>
          </w:p>
        </w:tc>
      </w:tr>
      <w:tr w:rsidR="00D3357E" w:rsidRPr="000A0584" w14:paraId="792F226B" w14:textId="77777777" w:rsidTr="00E3135A">
        <w:tc>
          <w:tcPr>
            <w:tcW w:w="1718" w:type="dxa"/>
          </w:tcPr>
          <w:p w14:paraId="56A81191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Атмосферне повітря</w:t>
            </w:r>
          </w:p>
        </w:tc>
        <w:tc>
          <w:tcPr>
            <w:tcW w:w="2388" w:type="dxa"/>
          </w:tcPr>
          <w:p w14:paraId="08B6D2FA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Концентраціі</w:t>
            </w:r>
            <w:proofErr w:type="spellEnd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̈ забруднюючих речовин в атмосферному повітрі на межі санітарно-</w:t>
            </w:r>
            <w:proofErr w:type="spellStart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захисноі</w:t>
            </w:r>
            <w:proofErr w:type="spellEnd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̈ зони</w:t>
            </w:r>
          </w:p>
        </w:tc>
        <w:tc>
          <w:tcPr>
            <w:tcW w:w="3119" w:type="dxa"/>
          </w:tcPr>
          <w:p w14:paraId="68C8787D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Результати лабораторних досліджень після відбору проб. Проводить атестована лабораторія відповідно до укладеного договору.</w:t>
            </w:r>
          </w:p>
        </w:tc>
        <w:tc>
          <w:tcPr>
            <w:tcW w:w="2120" w:type="dxa"/>
          </w:tcPr>
          <w:p w14:paraId="6DC35209" w14:textId="77777777" w:rsidR="00D3357E" w:rsidRPr="000A0584" w:rsidRDefault="00D3357E" w:rsidP="00E3135A">
            <w:pPr>
              <w:pStyle w:val="Default"/>
              <w:rPr>
                <w:color w:val="auto"/>
                <w:sz w:val="28"/>
                <w:szCs w:val="28"/>
              </w:rPr>
            </w:pPr>
            <w:r w:rsidRPr="000A0584">
              <w:rPr>
                <w:color w:val="auto"/>
                <w:sz w:val="28"/>
                <w:szCs w:val="28"/>
              </w:rPr>
              <w:t>Один раз на рік після затвердження МД та початку провадження планової діяльності</w:t>
            </w:r>
          </w:p>
        </w:tc>
      </w:tr>
      <w:tr w:rsidR="00D3357E" w:rsidRPr="000A0584" w14:paraId="15A026E9" w14:textId="77777777" w:rsidTr="00E3135A">
        <w:tc>
          <w:tcPr>
            <w:tcW w:w="1718" w:type="dxa"/>
          </w:tcPr>
          <w:p w14:paraId="20486C84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Санітарно-захисна зона</w:t>
            </w:r>
          </w:p>
        </w:tc>
        <w:tc>
          <w:tcPr>
            <w:tcW w:w="2388" w:type="dxa"/>
          </w:tcPr>
          <w:p w14:paraId="1577D15B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Рівень шуму на межі санітарно-</w:t>
            </w:r>
            <w:proofErr w:type="spellStart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захисноі</w:t>
            </w:r>
            <w:proofErr w:type="spellEnd"/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̈ зони</w:t>
            </w:r>
          </w:p>
        </w:tc>
        <w:tc>
          <w:tcPr>
            <w:tcW w:w="3119" w:type="dxa"/>
          </w:tcPr>
          <w:p w14:paraId="30A75BE3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Результати лабораторних досліджень після відбору проб. Проводить атестована лабораторія відповідно до укладеного договору.</w:t>
            </w:r>
          </w:p>
        </w:tc>
        <w:tc>
          <w:tcPr>
            <w:tcW w:w="2120" w:type="dxa"/>
          </w:tcPr>
          <w:p w14:paraId="1F7CE66A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Один раз на рік після затвердження МД та початку провадження планової діяльності</w:t>
            </w:r>
          </w:p>
        </w:tc>
      </w:tr>
      <w:tr w:rsidR="00D3357E" w:rsidRPr="000A0584" w14:paraId="75E686A6" w14:textId="77777777" w:rsidTr="00E3135A">
        <w:tc>
          <w:tcPr>
            <w:tcW w:w="1718" w:type="dxa"/>
          </w:tcPr>
          <w:p w14:paraId="3C01672D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Стічні води</w:t>
            </w:r>
          </w:p>
        </w:tc>
        <w:tc>
          <w:tcPr>
            <w:tcW w:w="2388" w:type="dxa"/>
          </w:tcPr>
          <w:p w14:paraId="1CDFFB79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Оцінка складу та властивостей очищених стічних вод</w:t>
            </w:r>
          </w:p>
        </w:tc>
        <w:tc>
          <w:tcPr>
            <w:tcW w:w="3119" w:type="dxa"/>
          </w:tcPr>
          <w:p w14:paraId="57BF076E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Результати лабораторних досліджень після відбору проб. Проводить атестована лабораторія відповідно до укладеного договору.</w:t>
            </w:r>
          </w:p>
        </w:tc>
        <w:tc>
          <w:tcPr>
            <w:tcW w:w="2120" w:type="dxa"/>
          </w:tcPr>
          <w:p w14:paraId="568CE2D2" w14:textId="77777777" w:rsidR="00D3357E" w:rsidRPr="000A0584" w:rsidRDefault="00D3357E" w:rsidP="00E3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84">
              <w:rPr>
                <w:rFonts w:ascii="Times New Roman" w:hAnsi="Times New Roman" w:cs="Times New Roman"/>
                <w:sz w:val="28"/>
                <w:szCs w:val="28"/>
              </w:rPr>
              <w:t>Один раз на рік після затвердження МД та початку провадження планової діяльності</w:t>
            </w:r>
          </w:p>
        </w:tc>
      </w:tr>
    </w:tbl>
    <w:p w14:paraId="7C61C96E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797D91" w14:textId="77777777" w:rsidR="00D3357E" w:rsidRPr="000A0584" w:rsidRDefault="00D3357E" w:rsidP="00D3357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A0584">
        <w:rPr>
          <w:color w:val="auto"/>
          <w:sz w:val="28"/>
          <w:szCs w:val="28"/>
        </w:rPr>
        <w:t xml:space="preserve">Результати моніторингу мають бути доступними для органів влади та громадськості. Моніторинг може бути використаний для: </w:t>
      </w:r>
    </w:p>
    <w:p w14:paraId="25D30037" w14:textId="77777777" w:rsidR="00D3357E" w:rsidRPr="000A0584" w:rsidRDefault="00D3357E" w:rsidP="00D3357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A0584">
        <w:rPr>
          <w:color w:val="auto"/>
          <w:sz w:val="28"/>
          <w:szCs w:val="28"/>
        </w:rPr>
        <w:t xml:space="preserve">- порівняння очікуваних і фактичних наслідків, що дозволяє отримати інформацію про реалізацію плану; </w:t>
      </w:r>
    </w:p>
    <w:p w14:paraId="2ABBFDF9" w14:textId="77777777" w:rsidR="00D3357E" w:rsidRPr="000A0584" w:rsidRDefault="00D3357E" w:rsidP="00D3357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A0584">
        <w:rPr>
          <w:color w:val="auto"/>
          <w:sz w:val="28"/>
          <w:szCs w:val="28"/>
        </w:rPr>
        <w:t xml:space="preserve">- отримання інформації, яка може бути використана для поліпшення майбутніх оцінок (моніторинг як інструмент контролю якості СЕО); </w:t>
      </w:r>
    </w:p>
    <w:p w14:paraId="090AF195" w14:textId="77777777" w:rsidR="00D3357E" w:rsidRPr="000A0584" w:rsidRDefault="00D3357E" w:rsidP="00D3357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A0584">
        <w:rPr>
          <w:color w:val="auto"/>
          <w:sz w:val="28"/>
          <w:szCs w:val="28"/>
        </w:rPr>
        <w:t>- перевірки дотримання екологічних вимог, встановлених відповідними органами влади;</w:t>
      </w:r>
    </w:p>
    <w:p w14:paraId="03E2967B" w14:textId="77777777" w:rsidR="00D3357E" w:rsidRPr="000A0584" w:rsidRDefault="00D3357E" w:rsidP="00D3357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A0584">
        <w:rPr>
          <w:color w:val="auto"/>
          <w:sz w:val="28"/>
          <w:szCs w:val="28"/>
        </w:rPr>
        <w:lastRenderedPageBreak/>
        <w:t xml:space="preserve">- перевірки того, що план виконується відповідно до затвердженого документа, включаючи передбачені заходи із запобігання, скорочення або пом'якшення несприятливих наслідків. </w:t>
      </w:r>
    </w:p>
    <w:p w14:paraId="26B3ACC0" w14:textId="77777777" w:rsidR="00D3357E" w:rsidRPr="000A0584" w:rsidRDefault="00D3357E" w:rsidP="00D3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584">
        <w:rPr>
          <w:rFonts w:ascii="Times New Roman" w:hAnsi="Times New Roman" w:cs="Times New Roman"/>
          <w:sz w:val="28"/>
          <w:szCs w:val="28"/>
        </w:rPr>
        <w:t>Моніторинг повинен відбуватись на декількох рівнях та передбачати можливі екологічні загрози та/або виявляти під час його здійснення впливи, що не були передбачені раніше.</w:t>
      </w:r>
    </w:p>
    <w:p w14:paraId="55F700D7" w14:textId="77777777" w:rsidR="00D3357E" w:rsidRPr="000A0584" w:rsidRDefault="00D3357E" w:rsidP="00D3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91E88" w14:textId="77777777" w:rsidR="00F34377" w:rsidRDefault="00F34377"/>
    <w:sectPr w:rsidR="00F34377" w:rsidSect="00D3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679"/>
    <w:multiLevelType w:val="hybridMultilevel"/>
    <w:tmpl w:val="0630C4F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7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6A"/>
    <w:rsid w:val="0007304F"/>
    <w:rsid w:val="000A4B39"/>
    <w:rsid w:val="00221DEA"/>
    <w:rsid w:val="004A74FD"/>
    <w:rsid w:val="004E338F"/>
    <w:rsid w:val="0054706A"/>
    <w:rsid w:val="005E5D05"/>
    <w:rsid w:val="006055B2"/>
    <w:rsid w:val="006A1394"/>
    <w:rsid w:val="00700027"/>
    <w:rsid w:val="00715AD8"/>
    <w:rsid w:val="0071744C"/>
    <w:rsid w:val="00893AED"/>
    <w:rsid w:val="009B4D47"/>
    <w:rsid w:val="00B930DF"/>
    <w:rsid w:val="00BA796D"/>
    <w:rsid w:val="00D3357E"/>
    <w:rsid w:val="00E2483C"/>
    <w:rsid w:val="00E51211"/>
    <w:rsid w:val="00E6193A"/>
    <w:rsid w:val="00F24642"/>
    <w:rsid w:val="00F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8520"/>
  <w15:chartTrackingRefBased/>
  <w15:docId w15:val="{141216AD-6EA1-4E9D-B3A9-F0425FE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7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335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3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D33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4913</Words>
  <Characters>2801</Characters>
  <Application>Microsoft Office Word</Application>
  <DocSecurity>0</DocSecurity>
  <Lines>23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2024-06-20T08:02:00Z</dcterms:created>
  <dcterms:modified xsi:type="dcterms:W3CDTF">2024-06-20T08:21:00Z</dcterms:modified>
</cp:coreProperties>
</file>