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3722F5" w14:textId="77777777" w:rsidR="00523C3D" w:rsidRPr="00DB6EA3" w:rsidRDefault="00DB6EA3" w:rsidP="00DB6EA3">
      <w:pPr>
        <w:spacing w:line="360" w:lineRule="auto"/>
        <w:jc w:val="center"/>
        <w:rPr>
          <w:rFonts w:ascii="Times New Roman" w:hAnsi="Times New Roman" w:cs="Times New Roman"/>
          <w:b/>
          <w:bCs/>
          <w:sz w:val="28"/>
          <w:szCs w:val="28"/>
        </w:rPr>
      </w:pPr>
      <w:r w:rsidRPr="00DB6EA3">
        <w:rPr>
          <w:rFonts w:ascii="Times New Roman" w:hAnsi="Times New Roman" w:cs="Times New Roman"/>
          <w:b/>
          <w:bCs/>
          <w:sz w:val="28"/>
          <w:szCs w:val="28"/>
        </w:rPr>
        <w:t>Заходи, передбачені для здійснення моніторингу наслідків виконання документа державного планування для довкілля, у тому числі для здоров’я населення</w:t>
      </w:r>
    </w:p>
    <w:p w14:paraId="5144D650" w14:textId="77777777" w:rsidR="00DB6EA3" w:rsidRPr="00DB6EA3" w:rsidRDefault="00DB6EA3" w:rsidP="00DB6EA3">
      <w:pPr>
        <w:spacing w:line="360" w:lineRule="auto"/>
        <w:jc w:val="center"/>
        <w:rPr>
          <w:rFonts w:ascii="Times New Roman" w:hAnsi="Times New Roman" w:cs="Times New Roman"/>
          <w:b/>
          <w:bCs/>
          <w:sz w:val="28"/>
          <w:szCs w:val="28"/>
        </w:rPr>
      </w:pPr>
    </w:p>
    <w:p w14:paraId="58DEA114" w14:textId="77777777" w:rsidR="0029133D" w:rsidRDefault="0029133D" w:rsidP="0029133D">
      <w:pPr>
        <w:spacing w:line="360" w:lineRule="auto"/>
        <w:ind w:firstLine="720"/>
        <w:jc w:val="both"/>
        <w:rPr>
          <w:rFonts w:ascii="Times New Roman" w:hAnsi="Times New Roman" w:cs="Times New Roman"/>
          <w:color w:val="000000" w:themeColor="text1"/>
          <w:sz w:val="28"/>
          <w:szCs w:val="28"/>
        </w:rPr>
      </w:pPr>
      <w:r w:rsidRPr="0029133D">
        <w:rPr>
          <w:rFonts w:ascii="Times New Roman" w:hAnsi="Times New Roman" w:cs="Times New Roman"/>
          <w:color w:val="000000" w:themeColor="text1"/>
          <w:sz w:val="28"/>
          <w:szCs w:val="28"/>
        </w:rPr>
        <w:t xml:space="preserve">Моніторинг - це система постійного спостереження за явищами і процесами, що проходять в навколишньому середовищі і суспільстві, результати якого слугують для обґрунтування управлінських рішень. </w:t>
      </w:r>
    </w:p>
    <w:p w14:paraId="6FD64E9C" w14:textId="78E491CA" w:rsidR="0029133D" w:rsidRPr="0029133D" w:rsidRDefault="0029133D" w:rsidP="0029133D">
      <w:pPr>
        <w:spacing w:line="360" w:lineRule="auto"/>
        <w:ind w:firstLine="720"/>
        <w:jc w:val="both"/>
        <w:rPr>
          <w:rFonts w:ascii="Times New Roman" w:hAnsi="Times New Roman" w:cs="Times New Roman"/>
          <w:color w:val="000000" w:themeColor="text1"/>
          <w:sz w:val="28"/>
          <w:szCs w:val="28"/>
        </w:rPr>
      </w:pPr>
      <w:r w:rsidRPr="0029133D">
        <w:rPr>
          <w:rFonts w:ascii="Times New Roman" w:hAnsi="Times New Roman" w:cs="Times New Roman"/>
          <w:color w:val="000000" w:themeColor="text1"/>
          <w:sz w:val="28"/>
          <w:szCs w:val="28"/>
        </w:rPr>
        <w:t>Моніторинг здійснює замовник документу державного планування</w:t>
      </w:r>
      <w:r w:rsidR="00C05032">
        <w:rPr>
          <w:rFonts w:ascii="Times New Roman" w:hAnsi="Times New Roman" w:cs="Times New Roman"/>
          <w:color w:val="000000" w:themeColor="text1"/>
          <w:sz w:val="28"/>
          <w:szCs w:val="28"/>
        </w:rPr>
        <w:t>.</w:t>
      </w:r>
    </w:p>
    <w:p w14:paraId="0B92A86B" w14:textId="77777777" w:rsidR="002B1981" w:rsidRPr="002B1981" w:rsidRDefault="002B1981" w:rsidP="00DB6EA3">
      <w:pPr>
        <w:spacing w:line="360" w:lineRule="auto"/>
        <w:ind w:firstLine="720"/>
        <w:jc w:val="both"/>
        <w:rPr>
          <w:rFonts w:ascii="Times New Roman" w:hAnsi="Times New Roman" w:cs="Times New Roman"/>
          <w:b/>
          <w:bCs/>
          <w:color w:val="000000" w:themeColor="text1"/>
          <w:sz w:val="28"/>
          <w:szCs w:val="28"/>
        </w:rPr>
      </w:pPr>
      <w:r w:rsidRPr="002B1981">
        <w:rPr>
          <w:rFonts w:ascii="Times New Roman" w:hAnsi="Times New Roman" w:cs="Times New Roman"/>
          <w:color w:val="000000" w:themeColor="text1"/>
          <w:sz w:val="28"/>
          <w:szCs w:val="28"/>
          <w:shd w:val="clear" w:color="auto" w:fill="FFFFFF"/>
        </w:rPr>
        <w:t>Моніторинг здійснюється з метою виявлення наслідків виконання документа державного планування для довкілля, у тому числі для здоров’я населення, забезпечення здійснення заходів із запобігання, зменшення та пом’якшення негативних наслідків виконання документа державного планування, а також у разі виявлення негативних наслідків, не передбачених звітом про стратегічну екологічну оцінку, вжиття заходів для їх усунення.</w:t>
      </w:r>
    </w:p>
    <w:p w14:paraId="1453BA02" w14:textId="77777777" w:rsidR="002B1981" w:rsidRDefault="00DB6EA3" w:rsidP="00DB6EA3">
      <w:pPr>
        <w:spacing w:line="360" w:lineRule="auto"/>
        <w:ind w:firstLine="720"/>
        <w:jc w:val="both"/>
        <w:rPr>
          <w:rFonts w:ascii="Times New Roman" w:hAnsi="Times New Roman" w:cs="Times New Roman"/>
          <w:sz w:val="28"/>
          <w:szCs w:val="28"/>
        </w:rPr>
      </w:pPr>
      <w:r w:rsidRPr="00DB6EA3">
        <w:rPr>
          <w:rFonts w:ascii="Times New Roman" w:hAnsi="Times New Roman" w:cs="Times New Roman"/>
          <w:sz w:val="28"/>
          <w:szCs w:val="28"/>
        </w:rPr>
        <w:t>Відповідно до вимог розділу 5 ст. 17 Закону України «Про стратегічну екологічну оцінку» замовник у межах своєї компетенції здійснює моніторинг наслідків виконання документа державного планування для довкілля, у тому числі для здоров’я населення, один раз на рік оприлюднює його результати на своєму офіційному веб-сайті у мережі Інтернет та у разі виявлення не передбачених звітом про стратегічну екологічну оцінку негативних наслідків для довкілля, у тому числі для здоров’я населення</w:t>
      </w:r>
      <w:r w:rsidR="002B1981">
        <w:rPr>
          <w:rFonts w:ascii="Times New Roman" w:hAnsi="Times New Roman" w:cs="Times New Roman"/>
          <w:sz w:val="28"/>
          <w:szCs w:val="28"/>
        </w:rPr>
        <w:t>, вживає заходів для їх усунення.</w:t>
      </w:r>
    </w:p>
    <w:p w14:paraId="6B13ADD9" w14:textId="77777777" w:rsidR="00DB6EA3" w:rsidRPr="002B1981" w:rsidRDefault="00DB6EA3" w:rsidP="00DB6EA3">
      <w:pPr>
        <w:spacing w:line="360" w:lineRule="auto"/>
        <w:ind w:firstLine="720"/>
        <w:jc w:val="both"/>
        <w:rPr>
          <w:rFonts w:ascii="Times New Roman" w:hAnsi="Times New Roman" w:cs="Times New Roman"/>
          <w:color w:val="000000" w:themeColor="text1"/>
          <w:sz w:val="28"/>
          <w:szCs w:val="28"/>
        </w:rPr>
      </w:pPr>
      <w:r w:rsidRPr="00DB6EA3">
        <w:rPr>
          <w:rFonts w:ascii="Times New Roman" w:hAnsi="Times New Roman" w:cs="Times New Roman"/>
          <w:sz w:val="28"/>
          <w:szCs w:val="28"/>
        </w:rPr>
        <w:t xml:space="preserve"> </w:t>
      </w:r>
      <w:r w:rsidR="002B1981" w:rsidRPr="002B1981">
        <w:rPr>
          <w:rFonts w:ascii="Times New Roman" w:hAnsi="Times New Roman" w:cs="Times New Roman"/>
          <w:color w:val="000000" w:themeColor="text1"/>
          <w:sz w:val="28"/>
          <w:szCs w:val="28"/>
        </w:rPr>
        <w:t xml:space="preserve">Основні вимоги організації та здійснення моніторингу наслідків виконання документа державного планування для довкілля, у тому числі для здоров’я населення визначені «Порядком здійснення моніторингу наслідків виконання документа державного планування для довкілля, у тому числі для </w:t>
      </w:r>
      <w:r w:rsidR="002B1981" w:rsidRPr="002B1981">
        <w:rPr>
          <w:rFonts w:ascii="Times New Roman" w:hAnsi="Times New Roman" w:cs="Times New Roman"/>
          <w:color w:val="000000" w:themeColor="text1"/>
          <w:sz w:val="28"/>
          <w:szCs w:val="28"/>
        </w:rPr>
        <w:lastRenderedPageBreak/>
        <w:t>здоров’я населення», затвердженого Постановою Кабінету Міністрів України від 16 грудня 2020 року №1272.</w:t>
      </w:r>
    </w:p>
    <w:p w14:paraId="6D0156D7" w14:textId="77777777" w:rsidR="00DB6EA3" w:rsidRDefault="00DB6EA3" w:rsidP="00DB6EA3">
      <w:pPr>
        <w:spacing w:line="360" w:lineRule="auto"/>
        <w:jc w:val="both"/>
        <w:rPr>
          <w:rFonts w:ascii="Times New Roman" w:hAnsi="Times New Roman" w:cs="Times New Roman"/>
          <w:sz w:val="28"/>
          <w:szCs w:val="28"/>
        </w:rPr>
      </w:pPr>
      <w:r w:rsidRPr="00DB6EA3">
        <w:rPr>
          <w:rFonts w:ascii="Times New Roman" w:hAnsi="Times New Roman" w:cs="Times New Roman"/>
          <w:sz w:val="28"/>
          <w:szCs w:val="28"/>
        </w:rPr>
        <w:tab/>
        <w:t xml:space="preserve">Моніторинг наслідків виконання документа державного планування буде здійснюватися шляхом періодичного ( не менше одного разу на рік) аналізу статистичних даних щодо якості компонентів навколишнього природного середовища та показників захворюваності населення на територіях, прилеглих до ділянки, на яку розповсюджується дія документу державного планування. </w:t>
      </w:r>
    </w:p>
    <w:p w14:paraId="676D5D6E" w14:textId="77777777" w:rsidR="00DB6EA3" w:rsidRDefault="00DB6EA3" w:rsidP="00DB6EA3">
      <w:pPr>
        <w:spacing w:line="360" w:lineRule="auto"/>
        <w:ind w:firstLine="720"/>
        <w:jc w:val="both"/>
        <w:rPr>
          <w:rFonts w:ascii="Times New Roman" w:hAnsi="Times New Roman" w:cs="Times New Roman"/>
          <w:sz w:val="28"/>
          <w:szCs w:val="28"/>
        </w:rPr>
      </w:pPr>
      <w:r w:rsidRPr="00DB6EA3">
        <w:rPr>
          <w:rFonts w:ascii="Times New Roman" w:hAnsi="Times New Roman" w:cs="Times New Roman"/>
          <w:sz w:val="28"/>
          <w:szCs w:val="28"/>
        </w:rPr>
        <w:t xml:space="preserve">Загальною метою моніторингу екологічних та соціальних аспектів даного документу держаного планування є забезпечення того, що всі заходи пом’якшення та мінімізації впливів та наслідків втілюються та є ефективними і достатніми. </w:t>
      </w:r>
    </w:p>
    <w:p w14:paraId="69A63161" w14:textId="77777777" w:rsidR="00DB6EA3" w:rsidRPr="00DB6EA3" w:rsidRDefault="00DB6EA3" w:rsidP="00DB6EA3">
      <w:pPr>
        <w:spacing w:line="360" w:lineRule="auto"/>
        <w:ind w:firstLine="720"/>
        <w:jc w:val="both"/>
        <w:rPr>
          <w:rFonts w:ascii="Times New Roman" w:hAnsi="Times New Roman" w:cs="Times New Roman"/>
          <w:sz w:val="28"/>
          <w:szCs w:val="28"/>
        </w:rPr>
      </w:pPr>
      <w:r w:rsidRPr="00DB6EA3">
        <w:rPr>
          <w:rFonts w:ascii="Times New Roman" w:hAnsi="Times New Roman" w:cs="Times New Roman"/>
          <w:sz w:val="28"/>
          <w:szCs w:val="28"/>
        </w:rPr>
        <w:t xml:space="preserve">Програма екологічного моніторингу повинна працювати під час будівництва, реконструкції та експлуатації об’єкту. Вона складається із переліку дій та заходів, кожний із яких має певну мету та ключові індикатори та критерії для оцінки. </w:t>
      </w:r>
    </w:p>
    <w:p w14:paraId="27C15013" w14:textId="77777777" w:rsidR="00DB6EA3" w:rsidRDefault="00DB6EA3" w:rsidP="00DB6EA3">
      <w:pPr>
        <w:pStyle w:val="NormalWeb"/>
        <w:shd w:val="clear" w:color="auto" w:fill="FFFFFF"/>
        <w:spacing w:before="0" w:beforeAutospacing="0" w:after="0" w:afterAutospacing="0" w:line="360" w:lineRule="auto"/>
        <w:ind w:firstLine="720"/>
        <w:jc w:val="both"/>
        <w:rPr>
          <w:sz w:val="28"/>
          <w:szCs w:val="28"/>
        </w:rPr>
      </w:pPr>
      <w:r>
        <w:rPr>
          <w:sz w:val="28"/>
          <w:szCs w:val="28"/>
          <w:lang w:val="uk-UA"/>
        </w:rPr>
        <w:t>П</w:t>
      </w:r>
      <w:r w:rsidRPr="00DB6EA3">
        <w:rPr>
          <w:sz w:val="28"/>
          <w:szCs w:val="28"/>
        </w:rPr>
        <w:t>остійний моніторинг</w:t>
      </w:r>
      <w:r>
        <w:rPr>
          <w:sz w:val="28"/>
          <w:szCs w:val="28"/>
          <w:lang w:val="uk-UA"/>
        </w:rPr>
        <w:t>.</w:t>
      </w:r>
      <w:r w:rsidRPr="00DB6EA3">
        <w:rPr>
          <w:sz w:val="28"/>
          <w:szCs w:val="28"/>
        </w:rPr>
        <w:t xml:space="preserve"> </w:t>
      </w:r>
    </w:p>
    <w:p w14:paraId="3E29A9B7" w14:textId="77777777" w:rsidR="00DB6EA3" w:rsidRPr="00DB6EA3" w:rsidRDefault="00DB6EA3" w:rsidP="00DB6EA3">
      <w:pPr>
        <w:pStyle w:val="NormalWeb"/>
        <w:shd w:val="clear" w:color="auto" w:fill="FFFFFF"/>
        <w:spacing w:before="0" w:beforeAutospacing="0" w:after="0" w:afterAutospacing="0" w:line="360" w:lineRule="auto"/>
        <w:ind w:firstLine="720"/>
        <w:jc w:val="both"/>
        <w:rPr>
          <w:sz w:val="28"/>
          <w:szCs w:val="28"/>
        </w:rPr>
      </w:pPr>
      <w:r>
        <w:rPr>
          <w:sz w:val="28"/>
          <w:szCs w:val="28"/>
          <w:lang w:val="uk-UA"/>
        </w:rPr>
        <w:t>П</w:t>
      </w:r>
      <w:r w:rsidRPr="00DB6EA3">
        <w:rPr>
          <w:sz w:val="28"/>
          <w:szCs w:val="28"/>
        </w:rPr>
        <w:t xml:space="preserve">овинен здійснюватися під час всього життєвого циклу об’єкту: будівництво - експлуатація - виведення із експлуатації. Критерієм під час будівництва є охорона грунтів (якісні характеристики) і своєчасний вивіз будівельного сміття, відшкодування шкоди для навколишнього середовища у разі видалення дерев; контроль за нормативним рівнем озеленення земельної ділянки. Під час експлуатації – організація контролю за якістю атмосферного повітря. Під час виведення із експлуатації – своєчасна та безпечна утилізація конструкцій та будівель, визначення можливості та організація повторного використання матеріалів. </w:t>
      </w:r>
    </w:p>
    <w:p w14:paraId="5F60AFE3" w14:textId="77777777" w:rsidR="00DB6EA3" w:rsidRPr="00DB6EA3" w:rsidRDefault="00DB6EA3" w:rsidP="00DB6EA3">
      <w:pPr>
        <w:pStyle w:val="NormalWeb"/>
        <w:spacing w:before="0" w:beforeAutospacing="0" w:after="0" w:afterAutospacing="0" w:line="360" w:lineRule="auto"/>
        <w:ind w:firstLine="720"/>
        <w:jc w:val="both"/>
        <w:rPr>
          <w:sz w:val="28"/>
          <w:szCs w:val="28"/>
          <w:lang w:val="uk-UA"/>
        </w:rPr>
      </w:pPr>
      <w:r w:rsidRPr="00DB6EA3">
        <w:rPr>
          <w:sz w:val="28"/>
          <w:szCs w:val="28"/>
          <w:lang w:val="uk-UA"/>
        </w:rPr>
        <w:t>Внутрішній моніторинг</w:t>
      </w:r>
      <w:r>
        <w:rPr>
          <w:sz w:val="28"/>
          <w:szCs w:val="28"/>
          <w:lang w:val="uk-UA"/>
        </w:rPr>
        <w:t>.</w:t>
      </w:r>
    </w:p>
    <w:p w14:paraId="1B489293" w14:textId="77777777" w:rsidR="00DB6EA3" w:rsidRDefault="00DB6EA3" w:rsidP="00DB6EA3">
      <w:pPr>
        <w:pStyle w:val="NormalWeb"/>
        <w:shd w:val="clear" w:color="auto" w:fill="FFFFFF"/>
        <w:spacing w:before="0" w:beforeAutospacing="0" w:after="0" w:afterAutospacing="0" w:line="360" w:lineRule="auto"/>
        <w:ind w:firstLine="720"/>
        <w:jc w:val="both"/>
        <w:rPr>
          <w:sz w:val="28"/>
          <w:szCs w:val="28"/>
        </w:rPr>
      </w:pPr>
      <w:r w:rsidRPr="00DB6EA3">
        <w:rPr>
          <w:sz w:val="28"/>
          <w:szCs w:val="28"/>
        </w:rPr>
        <w:lastRenderedPageBreak/>
        <w:t xml:space="preserve">Перед початком будівництва повинно бути призначено фахівця, який буде відповідальним за дотримання екологічних та соціальних вимог під час будівельних робіт. Також ця особа буде повинна регулярний контакт не тільки із державними контролюючими органами, а й особами, відповідальними за охорону навколишнього природного середовища, охорону праці будівельної організації. </w:t>
      </w:r>
    </w:p>
    <w:p w14:paraId="4A2BD596" w14:textId="77777777" w:rsidR="00DB6EA3" w:rsidRPr="00DB6EA3" w:rsidRDefault="00DB6EA3" w:rsidP="00DB6EA3">
      <w:pPr>
        <w:pStyle w:val="NormalWeb"/>
        <w:shd w:val="clear" w:color="auto" w:fill="FFFFFF"/>
        <w:spacing w:before="0" w:beforeAutospacing="0" w:after="0" w:afterAutospacing="0" w:line="360" w:lineRule="auto"/>
        <w:ind w:firstLine="720"/>
        <w:jc w:val="both"/>
        <w:rPr>
          <w:sz w:val="28"/>
          <w:szCs w:val="28"/>
          <w:lang w:val="uk-UA"/>
        </w:rPr>
      </w:pPr>
      <w:r>
        <w:rPr>
          <w:sz w:val="28"/>
          <w:szCs w:val="28"/>
          <w:lang w:val="uk-UA"/>
        </w:rPr>
        <w:t>З</w:t>
      </w:r>
      <w:r w:rsidRPr="00DB6EA3">
        <w:rPr>
          <w:sz w:val="28"/>
          <w:szCs w:val="28"/>
        </w:rPr>
        <w:t>овнішній моніторинг та оцінка</w:t>
      </w:r>
      <w:r>
        <w:rPr>
          <w:sz w:val="28"/>
          <w:szCs w:val="28"/>
          <w:lang w:val="uk-UA"/>
        </w:rPr>
        <w:t>.</w:t>
      </w:r>
    </w:p>
    <w:p w14:paraId="0EADC093" w14:textId="77777777" w:rsidR="00DB6EA3" w:rsidRDefault="00DB6EA3" w:rsidP="00DB6EA3">
      <w:pPr>
        <w:pStyle w:val="NormalWeb"/>
        <w:shd w:val="clear" w:color="auto" w:fill="FFFFFF"/>
        <w:spacing w:before="0" w:beforeAutospacing="0" w:after="0" w:afterAutospacing="0" w:line="360" w:lineRule="auto"/>
        <w:ind w:firstLine="720"/>
        <w:jc w:val="both"/>
        <w:rPr>
          <w:sz w:val="28"/>
          <w:szCs w:val="28"/>
        </w:rPr>
      </w:pPr>
      <w:r>
        <w:rPr>
          <w:sz w:val="28"/>
          <w:szCs w:val="28"/>
          <w:lang w:val="uk-UA"/>
        </w:rPr>
        <w:t>П</w:t>
      </w:r>
      <w:r w:rsidRPr="00DB6EA3">
        <w:rPr>
          <w:sz w:val="28"/>
          <w:szCs w:val="28"/>
        </w:rPr>
        <w:t xml:space="preserve">ередбачається виконання зовнішнього моніторингу об’єкту силами органів державного нагляду (територіальні органи Державної екологічної інспекції України, Держпродспоживслужби України та Держпраці), місцевого самоврядування та місцевих громадських об’єднань. </w:t>
      </w:r>
    </w:p>
    <w:p w14:paraId="3AC17C27" w14:textId="77777777" w:rsidR="00DB6EA3" w:rsidRDefault="00DB6EA3" w:rsidP="00DB6EA3">
      <w:pPr>
        <w:pStyle w:val="NormalWeb"/>
        <w:shd w:val="clear" w:color="auto" w:fill="FFFFFF"/>
        <w:spacing w:before="0" w:beforeAutospacing="0" w:after="0" w:afterAutospacing="0" w:line="360" w:lineRule="auto"/>
        <w:jc w:val="both"/>
        <w:rPr>
          <w:sz w:val="28"/>
          <w:szCs w:val="28"/>
        </w:rPr>
      </w:pPr>
      <w:r w:rsidRPr="00DB6EA3">
        <w:rPr>
          <w:sz w:val="28"/>
          <w:szCs w:val="28"/>
        </w:rPr>
        <w:t xml:space="preserve">Органи державного нагляду здійснюватимуть моніторинг та контроль підприємства шляхом проведення планових та позапланових перевірок із залученням інших зацікавлених сторін. </w:t>
      </w:r>
    </w:p>
    <w:p w14:paraId="2BC4B937" w14:textId="77777777" w:rsidR="00DB6EA3" w:rsidRDefault="00DB6EA3" w:rsidP="00DB6EA3">
      <w:pPr>
        <w:pStyle w:val="NormalWeb"/>
        <w:shd w:val="clear" w:color="auto" w:fill="FFFFFF"/>
        <w:spacing w:before="0" w:beforeAutospacing="0" w:after="0" w:afterAutospacing="0" w:line="360" w:lineRule="auto"/>
        <w:ind w:firstLine="720"/>
        <w:jc w:val="both"/>
        <w:rPr>
          <w:sz w:val="28"/>
          <w:szCs w:val="28"/>
        </w:rPr>
      </w:pPr>
      <w:r w:rsidRPr="00DB6EA3">
        <w:rPr>
          <w:sz w:val="28"/>
          <w:szCs w:val="28"/>
        </w:rPr>
        <w:t xml:space="preserve">Органи місцевого самоврядування та місцеві громадські об’єднання мають право долучатись до контролюючих органів або відвідувати об’єкт самостійно відповідно до вимог біобезпеки, що встановлені на підприємстві. </w:t>
      </w:r>
    </w:p>
    <w:p w14:paraId="35022CAD" w14:textId="77777777" w:rsidR="00DB6EA3" w:rsidRPr="00DB6EA3" w:rsidRDefault="00DB6EA3" w:rsidP="00DB6EA3">
      <w:pPr>
        <w:pStyle w:val="NormalWeb"/>
        <w:spacing w:before="0" w:beforeAutospacing="0" w:after="0" w:afterAutospacing="0" w:line="360" w:lineRule="auto"/>
        <w:jc w:val="both"/>
        <w:rPr>
          <w:sz w:val="28"/>
          <w:szCs w:val="28"/>
        </w:rPr>
      </w:pPr>
      <w:r w:rsidRPr="00DB6EA3">
        <w:rPr>
          <w:sz w:val="28"/>
          <w:szCs w:val="28"/>
        </w:rPr>
        <w:t xml:space="preserve">Зміст заходів, передбачених для здійснення моніторингу: </w:t>
      </w:r>
    </w:p>
    <w:p w14:paraId="2F78BD71" w14:textId="77777777" w:rsidR="00DB6EA3" w:rsidRPr="00DB6EA3" w:rsidRDefault="00DB6EA3" w:rsidP="00DB6EA3">
      <w:pPr>
        <w:pStyle w:val="NormalWeb"/>
        <w:spacing w:before="0" w:beforeAutospacing="0" w:after="0" w:afterAutospacing="0" w:line="360" w:lineRule="auto"/>
        <w:jc w:val="both"/>
        <w:rPr>
          <w:sz w:val="28"/>
          <w:szCs w:val="28"/>
        </w:rPr>
      </w:pPr>
      <w:r w:rsidRPr="00DB6EA3">
        <w:rPr>
          <w:sz w:val="28"/>
          <w:szCs w:val="28"/>
        </w:rPr>
        <w:t xml:space="preserve">- моніторингова група контролює відповідність використання земельної ділянки за функціональним призначенням, визначеним містобудівною документацією; </w:t>
      </w:r>
    </w:p>
    <w:p w14:paraId="460874A9" w14:textId="77777777" w:rsidR="00DB6EA3" w:rsidRPr="00DB6EA3" w:rsidRDefault="00DB6EA3" w:rsidP="00DB6EA3">
      <w:pPr>
        <w:pStyle w:val="NormalWeb"/>
        <w:spacing w:before="0" w:beforeAutospacing="0" w:after="0" w:afterAutospacing="0" w:line="360" w:lineRule="auto"/>
        <w:jc w:val="both"/>
        <w:rPr>
          <w:sz w:val="28"/>
          <w:szCs w:val="28"/>
        </w:rPr>
      </w:pPr>
      <w:r w:rsidRPr="00DB6EA3">
        <w:rPr>
          <w:sz w:val="28"/>
          <w:szCs w:val="28"/>
        </w:rPr>
        <w:t xml:space="preserve">- моніторингова група перевіряє відповідність розміщень об’єктів до проєктних рішень, що спрямовані на забезпечення санітарно-гігієнічних вимог в планувальній організації території; </w:t>
      </w:r>
    </w:p>
    <w:p w14:paraId="4D7064B7" w14:textId="77777777" w:rsidR="00DB6EA3" w:rsidRPr="00DB6EA3" w:rsidRDefault="00DB6EA3" w:rsidP="00DB6EA3">
      <w:pPr>
        <w:pStyle w:val="NormalWeb"/>
        <w:spacing w:before="0" w:beforeAutospacing="0" w:after="0" w:afterAutospacing="0" w:line="360" w:lineRule="auto"/>
        <w:jc w:val="both"/>
        <w:rPr>
          <w:sz w:val="28"/>
          <w:szCs w:val="28"/>
        </w:rPr>
      </w:pPr>
      <w:r w:rsidRPr="00DB6EA3">
        <w:rPr>
          <w:sz w:val="28"/>
          <w:szCs w:val="28"/>
        </w:rPr>
        <w:t xml:space="preserve">- моніторингова група співставляє цільові значення параметрів моніторингу до фактичних значень під час здійснення моніторингу; </w:t>
      </w:r>
    </w:p>
    <w:p w14:paraId="6BD49AD7" w14:textId="77777777" w:rsidR="00DB6EA3" w:rsidRPr="00DB6EA3" w:rsidRDefault="00DB6EA3" w:rsidP="00DB6EA3">
      <w:pPr>
        <w:pStyle w:val="NormalWeb"/>
        <w:spacing w:before="0" w:beforeAutospacing="0" w:after="0" w:afterAutospacing="0" w:line="360" w:lineRule="auto"/>
        <w:jc w:val="both"/>
        <w:rPr>
          <w:sz w:val="28"/>
          <w:szCs w:val="28"/>
        </w:rPr>
      </w:pPr>
      <w:r w:rsidRPr="00DB6EA3">
        <w:rPr>
          <w:sz w:val="28"/>
          <w:szCs w:val="28"/>
        </w:rPr>
        <w:lastRenderedPageBreak/>
        <w:t xml:space="preserve">- замовник результати моніторингу оприлюднює на власному офіційному веб-сайті один раз на рік протягом строку дії документа державного планування та через рік після закінчення такого строку. </w:t>
      </w:r>
    </w:p>
    <w:p w14:paraId="56452C8E" w14:textId="77777777" w:rsidR="00DB6EA3" w:rsidRPr="00DB6EA3" w:rsidRDefault="00DB6EA3" w:rsidP="00DB6EA3">
      <w:pPr>
        <w:pStyle w:val="NormalWeb"/>
        <w:shd w:val="clear" w:color="auto" w:fill="FFFFFF"/>
        <w:spacing w:before="0" w:beforeAutospacing="0" w:after="0" w:afterAutospacing="0" w:line="360" w:lineRule="auto"/>
        <w:ind w:firstLine="720"/>
        <w:jc w:val="both"/>
        <w:rPr>
          <w:sz w:val="28"/>
          <w:szCs w:val="28"/>
        </w:rPr>
      </w:pPr>
    </w:p>
    <w:p w14:paraId="36CB2691" w14:textId="77777777" w:rsidR="00DB6EA3" w:rsidRPr="00DB6EA3" w:rsidRDefault="00DB6EA3" w:rsidP="00DB6EA3">
      <w:pPr>
        <w:pStyle w:val="NormalWeb"/>
        <w:shd w:val="clear" w:color="auto" w:fill="FFFFFF"/>
        <w:spacing w:before="0" w:beforeAutospacing="0" w:after="0" w:afterAutospacing="0" w:line="360" w:lineRule="auto"/>
        <w:ind w:firstLine="720"/>
        <w:jc w:val="both"/>
        <w:rPr>
          <w:sz w:val="28"/>
          <w:szCs w:val="28"/>
        </w:rPr>
      </w:pPr>
      <w:r>
        <w:rPr>
          <w:rFonts w:ascii="Arial" w:hAnsi="Arial" w:cs="Arial"/>
          <w:sz w:val="23"/>
          <w:szCs w:val="23"/>
        </w:rPr>
        <w:t>Можлива структура моніторингу стану компонентів НПС</w:t>
      </w:r>
    </w:p>
    <w:tbl>
      <w:tblPr>
        <w:tblStyle w:val="TableGrid"/>
        <w:tblW w:w="0" w:type="auto"/>
        <w:tblLayout w:type="fixed"/>
        <w:tblLook w:val="04A0" w:firstRow="1" w:lastRow="0" w:firstColumn="1" w:lastColumn="0" w:noHBand="0" w:noVBand="1"/>
      </w:tblPr>
      <w:tblGrid>
        <w:gridCol w:w="1495"/>
        <w:gridCol w:w="3178"/>
        <w:gridCol w:w="1134"/>
        <w:gridCol w:w="1740"/>
        <w:gridCol w:w="1803"/>
      </w:tblGrid>
      <w:tr w:rsidR="00842B19" w14:paraId="77A6A30A" w14:textId="77777777" w:rsidTr="00214364">
        <w:trPr>
          <w:trHeight w:val="983"/>
        </w:trPr>
        <w:tc>
          <w:tcPr>
            <w:tcW w:w="1495" w:type="dxa"/>
          </w:tcPr>
          <w:p w14:paraId="2A93607E" w14:textId="77777777" w:rsidR="00842B19" w:rsidRPr="00DB6EA3" w:rsidRDefault="00842B19" w:rsidP="00214364">
            <w:pPr>
              <w:pStyle w:val="NormalWeb"/>
              <w:spacing w:before="0" w:beforeAutospacing="0" w:after="0" w:afterAutospacing="0" w:line="360" w:lineRule="auto"/>
              <w:jc w:val="center"/>
              <w:rPr>
                <w:sz w:val="20"/>
                <w:szCs w:val="20"/>
              </w:rPr>
            </w:pPr>
            <w:r w:rsidRPr="00DB6EA3">
              <w:rPr>
                <w:sz w:val="20"/>
                <w:szCs w:val="20"/>
              </w:rPr>
              <w:t>Об’єкт</w:t>
            </w:r>
          </w:p>
          <w:p w14:paraId="72E9971D" w14:textId="77777777" w:rsidR="00842B19" w:rsidRPr="00DB6EA3" w:rsidRDefault="00842B19" w:rsidP="00214364">
            <w:pPr>
              <w:pStyle w:val="NormalWeb"/>
              <w:spacing w:before="0" w:beforeAutospacing="0" w:after="0" w:afterAutospacing="0" w:line="360" w:lineRule="auto"/>
              <w:jc w:val="center"/>
              <w:rPr>
                <w:sz w:val="20"/>
                <w:szCs w:val="20"/>
              </w:rPr>
            </w:pPr>
            <w:r w:rsidRPr="00DB6EA3">
              <w:rPr>
                <w:sz w:val="20"/>
                <w:szCs w:val="20"/>
              </w:rPr>
              <w:t>Моніто-рингу</w:t>
            </w:r>
          </w:p>
        </w:tc>
        <w:tc>
          <w:tcPr>
            <w:tcW w:w="3178" w:type="dxa"/>
          </w:tcPr>
          <w:p w14:paraId="06572F78" w14:textId="77777777" w:rsidR="00842B19" w:rsidRPr="00DB6EA3" w:rsidRDefault="00842B19" w:rsidP="00214364">
            <w:pPr>
              <w:pStyle w:val="NormalWeb"/>
              <w:spacing w:before="0" w:beforeAutospacing="0" w:after="0" w:afterAutospacing="0" w:line="360" w:lineRule="auto"/>
              <w:jc w:val="center"/>
              <w:rPr>
                <w:sz w:val="20"/>
                <w:szCs w:val="20"/>
              </w:rPr>
            </w:pPr>
            <w:r w:rsidRPr="00DB6EA3">
              <w:rPr>
                <w:sz w:val="20"/>
                <w:szCs w:val="20"/>
              </w:rPr>
              <w:t>Параметр, що підлягає моніторингу</w:t>
            </w:r>
          </w:p>
        </w:tc>
        <w:tc>
          <w:tcPr>
            <w:tcW w:w="1134" w:type="dxa"/>
          </w:tcPr>
          <w:p w14:paraId="59C4D2B4" w14:textId="77777777" w:rsidR="00842B19" w:rsidRPr="00DB6EA3" w:rsidRDefault="00842B19" w:rsidP="00214364">
            <w:pPr>
              <w:pStyle w:val="NormalWeb"/>
              <w:spacing w:before="0" w:beforeAutospacing="0" w:after="0" w:afterAutospacing="0" w:line="360" w:lineRule="auto"/>
              <w:jc w:val="center"/>
              <w:rPr>
                <w:sz w:val="20"/>
                <w:szCs w:val="20"/>
              </w:rPr>
            </w:pPr>
            <w:r w:rsidRPr="00DB6EA3">
              <w:rPr>
                <w:sz w:val="20"/>
                <w:szCs w:val="20"/>
              </w:rPr>
              <w:t>Періодичність</w:t>
            </w:r>
          </w:p>
        </w:tc>
        <w:tc>
          <w:tcPr>
            <w:tcW w:w="1740" w:type="dxa"/>
          </w:tcPr>
          <w:p w14:paraId="6ED4217F" w14:textId="77777777" w:rsidR="00842B19" w:rsidRPr="00DB6EA3" w:rsidRDefault="00842B19" w:rsidP="00214364">
            <w:pPr>
              <w:pStyle w:val="NormalWeb"/>
              <w:spacing w:before="0" w:beforeAutospacing="0" w:after="0" w:afterAutospacing="0" w:line="360" w:lineRule="auto"/>
              <w:jc w:val="center"/>
              <w:rPr>
                <w:sz w:val="20"/>
                <w:szCs w:val="20"/>
              </w:rPr>
            </w:pPr>
            <w:r w:rsidRPr="00DB6EA3">
              <w:rPr>
                <w:sz w:val="20"/>
                <w:szCs w:val="20"/>
              </w:rPr>
              <w:t>Хто проводить моніторинг</w:t>
            </w:r>
          </w:p>
        </w:tc>
        <w:tc>
          <w:tcPr>
            <w:tcW w:w="1803" w:type="dxa"/>
          </w:tcPr>
          <w:p w14:paraId="5B160ABC" w14:textId="77777777" w:rsidR="00842B19" w:rsidRPr="00DB6EA3" w:rsidRDefault="00842B19" w:rsidP="00214364">
            <w:pPr>
              <w:pStyle w:val="NormalWeb"/>
              <w:spacing w:before="0" w:beforeAutospacing="0" w:after="0" w:afterAutospacing="0" w:line="360" w:lineRule="auto"/>
              <w:jc w:val="center"/>
              <w:rPr>
                <w:sz w:val="20"/>
                <w:szCs w:val="20"/>
              </w:rPr>
            </w:pPr>
            <w:r w:rsidRPr="00DB6EA3">
              <w:rPr>
                <w:sz w:val="20"/>
                <w:szCs w:val="20"/>
              </w:rPr>
              <w:t>Індикатор результативності</w:t>
            </w:r>
          </w:p>
        </w:tc>
      </w:tr>
      <w:tr w:rsidR="00842B19" w14:paraId="5061D929" w14:textId="77777777" w:rsidTr="00214364">
        <w:trPr>
          <w:trHeight w:val="218"/>
        </w:trPr>
        <w:tc>
          <w:tcPr>
            <w:tcW w:w="1495" w:type="dxa"/>
          </w:tcPr>
          <w:p w14:paraId="4EC9A12E" w14:textId="77777777" w:rsidR="00842B19" w:rsidRPr="00DB6EA3" w:rsidRDefault="00842B19" w:rsidP="00214364">
            <w:pPr>
              <w:pStyle w:val="NormalWeb"/>
              <w:spacing w:line="360" w:lineRule="auto"/>
              <w:jc w:val="center"/>
              <w:rPr>
                <w:sz w:val="16"/>
                <w:szCs w:val="16"/>
              </w:rPr>
            </w:pPr>
            <w:r w:rsidRPr="00DB6EA3">
              <w:rPr>
                <w:sz w:val="16"/>
                <w:szCs w:val="16"/>
              </w:rPr>
              <w:t>1</w:t>
            </w:r>
          </w:p>
        </w:tc>
        <w:tc>
          <w:tcPr>
            <w:tcW w:w="3178" w:type="dxa"/>
          </w:tcPr>
          <w:p w14:paraId="283946CA" w14:textId="77777777" w:rsidR="00842B19" w:rsidRPr="00DB6EA3" w:rsidRDefault="00842B19" w:rsidP="00214364">
            <w:pPr>
              <w:pStyle w:val="NormalWeb"/>
              <w:spacing w:line="360" w:lineRule="auto"/>
              <w:jc w:val="center"/>
              <w:rPr>
                <w:sz w:val="16"/>
                <w:szCs w:val="16"/>
              </w:rPr>
            </w:pPr>
            <w:r w:rsidRPr="00DB6EA3">
              <w:rPr>
                <w:sz w:val="16"/>
                <w:szCs w:val="16"/>
              </w:rPr>
              <w:t>2</w:t>
            </w:r>
          </w:p>
        </w:tc>
        <w:tc>
          <w:tcPr>
            <w:tcW w:w="1134" w:type="dxa"/>
          </w:tcPr>
          <w:p w14:paraId="385D8E7F" w14:textId="77777777" w:rsidR="00842B19" w:rsidRPr="00DB6EA3" w:rsidRDefault="00842B19" w:rsidP="00214364">
            <w:pPr>
              <w:pStyle w:val="NormalWeb"/>
              <w:spacing w:line="360" w:lineRule="auto"/>
              <w:jc w:val="center"/>
              <w:rPr>
                <w:sz w:val="16"/>
                <w:szCs w:val="16"/>
              </w:rPr>
            </w:pPr>
            <w:r w:rsidRPr="00DB6EA3">
              <w:rPr>
                <w:sz w:val="16"/>
                <w:szCs w:val="16"/>
              </w:rPr>
              <w:t>3</w:t>
            </w:r>
          </w:p>
        </w:tc>
        <w:tc>
          <w:tcPr>
            <w:tcW w:w="1740" w:type="dxa"/>
          </w:tcPr>
          <w:p w14:paraId="7830732D" w14:textId="77777777" w:rsidR="00842B19" w:rsidRPr="00DB6EA3" w:rsidRDefault="00842B19" w:rsidP="00214364">
            <w:pPr>
              <w:pStyle w:val="NormalWeb"/>
              <w:spacing w:line="360" w:lineRule="auto"/>
              <w:jc w:val="center"/>
              <w:rPr>
                <w:sz w:val="16"/>
                <w:szCs w:val="16"/>
              </w:rPr>
            </w:pPr>
            <w:r w:rsidRPr="00DB6EA3">
              <w:rPr>
                <w:sz w:val="16"/>
                <w:szCs w:val="16"/>
              </w:rPr>
              <w:t>4</w:t>
            </w:r>
          </w:p>
        </w:tc>
        <w:tc>
          <w:tcPr>
            <w:tcW w:w="1803" w:type="dxa"/>
          </w:tcPr>
          <w:p w14:paraId="75BF8BC4" w14:textId="77777777" w:rsidR="00842B19" w:rsidRPr="00DB6EA3" w:rsidRDefault="00842B19" w:rsidP="00214364">
            <w:pPr>
              <w:pStyle w:val="NormalWeb"/>
              <w:spacing w:line="360" w:lineRule="auto"/>
              <w:jc w:val="center"/>
              <w:rPr>
                <w:sz w:val="16"/>
                <w:szCs w:val="16"/>
              </w:rPr>
            </w:pPr>
            <w:r w:rsidRPr="00DB6EA3">
              <w:rPr>
                <w:sz w:val="16"/>
                <w:szCs w:val="16"/>
              </w:rPr>
              <w:t>5</w:t>
            </w:r>
          </w:p>
        </w:tc>
      </w:tr>
      <w:tr w:rsidR="00842B19" w14:paraId="1935956A" w14:textId="77777777" w:rsidTr="00214364">
        <w:trPr>
          <w:trHeight w:val="3214"/>
        </w:trPr>
        <w:tc>
          <w:tcPr>
            <w:tcW w:w="1495" w:type="dxa"/>
            <w:vMerge w:val="restart"/>
          </w:tcPr>
          <w:p w14:paraId="54D4D694" w14:textId="77777777" w:rsidR="00842B19" w:rsidRDefault="00842B19" w:rsidP="00214364">
            <w:pPr>
              <w:pStyle w:val="NormalWeb"/>
              <w:spacing w:before="0" w:beforeAutospacing="0" w:after="0" w:afterAutospacing="0" w:line="360" w:lineRule="auto"/>
              <w:jc w:val="center"/>
              <w:rPr>
                <w:sz w:val="20"/>
                <w:szCs w:val="20"/>
              </w:rPr>
            </w:pPr>
          </w:p>
          <w:p w14:paraId="0438E00F" w14:textId="77777777" w:rsidR="00842B19" w:rsidRDefault="00842B19" w:rsidP="00214364">
            <w:pPr>
              <w:pStyle w:val="NormalWeb"/>
              <w:spacing w:before="0" w:beforeAutospacing="0" w:after="0" w:afterAutospacing="0" w:line="360" w:lineRule="auto"/>
              <w:jc w:val="center"/>
              <w:rPr>
                <w:sz w:val="20"/>
                <w:szCs w:val="20"/>
              </w:rPr>
            </w:pPr>
          </w:p>
          <w:p w14:paraId="14F84F55" w14:textId="77777777" w:rsidR="00842B19" w:rsidRDefault="00842B19" w:rsidP="00214364">
            <w:pPr>
              <w:pStyle w:val="NormalWeb"/>
              <w:spacing w:before="0" w:beforeAutospacing="0" w:after="0" w:afterAutospacing="0" w:line="360" w:lineRule="auto"/>
              <w:jc w:val="center"/>
              <w:rPr>
                <w:sz w:val="20"/>
                <w:szCs w:val="20"/>
              </w:rPr>
            </w:pPr>
          </w:p>
          <w:p w14:paraId="150825FB" w14:textId="77777777" w:rsidR="00842B19" w:rsidRDefault="00842B19" w:rsidP="00214364">
            <w:pPr>
              <w:pStyle w:val="NormalWeb"/>
              <w:spacing w:before="0" w:beforeAutospacing="0" w:after="0" w:afterAutospacing="0" w:line="360" w:lineRule="auto"/>
              <w:jc w:val="center"/>
              <w:rPr>
                <w:sz w:val="20"/>
                <w:szCs w:val="20"/>
              </w:rPr>
            </w:pPr>
          </w:p>
          <w:p w14:paraId="74A5C733" w14:textId="77777777" w:rsidR="00842B19" w:rsidRDefault="00842B19" w:rsidP="00214364">
            <w:pPr>
              <w:pStyle w:val="NormalWeb"/>
              <w:spacing w:before="0" w:beforeAutospacing="0" w:after="0" w:afterAutospacing="0" w:line="360" w:lineRule="auto"/>
              <w:jc w:val="center"/>
              <w:rPr>
                <w:sz w:val="20"/>
                <w:szCs w:val="20"/>
              </w:rPr>
            </w:pPr>
          </w:p>
          <w:p w14:paraId="16D7F880" w14:textId="77777777" w:rsidR="00842B19" w:rsidRDefault="00842B19" w:rsidP="00214364">
            <w:pPr>
              <w:pStyle w:val="NormalWeb"/>
              <w:spacing w:before="0" w:beforeAutospacing="0" w:after="0" w:afterAutospacing="0" w:line="360" w:lineRule="auto"/>
              <w:jc w:val="center"/>
              <w:rPr>
                <w:sz w:val="20"/>
                <w:szCs w:val="20"/>
              </w:rPr>
            </w:pPr>
          </w:p>
          <w:p w14:paraId="7664FB79" w14:textId="77777777" w:rsidR="00842B19" w:rsidRDefault="00842B19" w:rsidP="00214364">
            <w:pPr>
              <w:pStyle w:val="NormalWeb"/>
              <w:spacing w:before="0" w:beforeAutospacing="0" w:after="0" w:afterAutospacing="0" w:line="360" w:lineRule="auto"/>
              <w:jc w:val="center"/>
              <w:rPr>
                <w:sz w:val="20"/>
                <w:szCs w:val="20"/>
              </w:rPr>
            </w:pPr>
          </w:p>
          <w:p w14:paraId="1B103AE9" w14:textId="77777777" w:rsidR="00842B19" w:rsidRDefault="00842B19" w:rsidP="00214364">
            <w:pPr>
              <w:pStyle w:val="NormalWeb"/>
              <w:spacing w:before="0" w:beforeAutospacing="0" w:after="0" w:afterAutospacing="0" w:line="360" w:lineRule="auto"/>
              <w:jc w:val="center"/>
              <w:rPr>
                <w:sz w:val="20"/>
                <w:szCs w:val="20"/>
              </w:rPr>
            </w:pPr>
          </w:p>
          <w:p w14:paraId="58B0A9FA" w14:textId="77777777" w:rsidR="00842B19" w:rsidRDefault="00842B19" w:rsidP="00214364">
            <w:pPr>
              <w:pStyle w:val="NormalWeb"/>
              <w:spacing w:before="0" w:beforeAutospacing="0" w:after="0" w:afterAutospacing="0" w:line="360" w:lineRule="auto"/>
              <w:jc w:val="center"/>
              <w:rPr>
                <w:sz w:val="20"/>
                <w:szCs w:val="20"/>
              </w:rPr>
            </w:pPr>
          </w:p>
          <w:p w14:paraId="0C75B18B" w14:textId="77777777" w:rsidR="00842B19" w:rsidRPr="001F7262" w:rsidRDefault="00842B19" w:rsidP="00214364">
            <w:pPr>
              <w:pStyle w:val="NormalWeb"/>
              <w:spacing w:before="0" w:beforeAutospacing="0" w:after="0" w:afterAutospacing="0" w:line="360" w:lineRule="auto"/>
              <w:jc w:val="center"/>
              <w:rPr>
                <w:sz w:val="20"/>
                <w:szCs w:val="20"/>
              </w:rPr>
            </w:pPr>
            <w:r w:rsidRPr="001F7262">
              <w:rPr>
                <w:sz w:val="20"/>
                <w:szCs w:val="20"/>
              </w:rPr>
              <w:t>Атмосферне повітря</w:t>
            </w:r>
          </w:p>
        </w:tc>
        <w:tc>
          <w:tcPr>
            <w:tcW w:w="3178" w:type="dxa"/>
          </w:tcPr>
          <w:p w14:paraId="1A28CD2F" w14:textId="77777777" w:rsidR="00842B19" w:rsidRDefault="00842B19" w:rsidP="00214364">
            <w:pPr>
              <w:pStyle w:val="NormalWeb"/>
              <w:spacing w:before="0" w:beforeAutospacing="0" w:after="0" w:afterAutospacing="0"/>
              <w:jc w:val="center"/>
              <w:rPr>
                <w:sz w:val="20"/>
                <w:szCs w:val="20"/>
              </w:rPr>
            </w:pPr>
            <w:r w:rsidRPr="001F7262">
              <w:rPr>
                <w:sz w:val="20"/>
                <w:szCs w:val="20"/>
              </w:rPr>
              <w:t>Об</w:t>
            </w:r>
            <w:r>
              <w:rPr>
                <w:sz w:val="20"/>
                <w:szCs w:val="20"/>
              </w:rPr>
              <w:t>сяг викидів від</w:t>
            </w:r>
            <w:r>
              <w:rPr>
                <w:sz w:val="20"/>
                <w:szCs w:val="20"/>
              </w:rPr>
              <w:br/>
              <w:t xml:space="preserve">стаціонарних та пересувних джерел </w:t>
            </w:r>
            <w:r w:rsidRPr="001F7262">
              <w:rPr>
                <w:sz w:val="20"/>
                <w:szCs w:val="20"/>
              </w:rPr>
              <w:t>забруднення</w:t>
            </w:r>
            <w:r>
              <w:rPr>
                <w:sz w:val="20"/>
                <w:szCs w:val="20"/>
              </w:rPr>
              <w:t xml:space="preserve"> в атмосферу</w:t>
            </w:r>
            <w:r w:rsidRPr="001F7262">
              <w:rPr>
                <w:sz w:val="20"/>
                <w:szCs w:val="20"/>
              </w:rPr>
              <w:t xml:space="preserve"> за</w:t>
            </w:r>
            <w:r>
              <w:rPr>
                <w:sz w:val="20"/>
                <w:szCs w:val="20"/>
              </w:rPr>
              <w:t xml:space="preserve"> </w:t>
            </w:r>
            <w:r w:rsidRPr="001F7262">
              <w:rPr>
                <w:sz w:val="20"/>
                <w:szCs w:val="20"/>
              </w:rPr>
              <w:t xml:space="preserve">окремими </w:t>
            </w:r>
            <w:r>
              <w:rPr>
                <w:sz w:val="20"/>
                <w:szCs w:val="20"/>
              </w:rPr>
              <w:t>речовинами</w:t>
            </w:r>
            <w:r>
              <w:rPr>
                <w:sz w:val="20"/>
                <w:szCs w:val="20"/>
              </w:rPr>
              <w:br/>
              <w:t xml:space="preserve">(суспендовані тверді частинки, діоксид та </w:t>
            </w:r>
            <w:r w:rsidRPr="001F7262">
              <w:rPr>
                <w:sz w:val="20"/>
                <w:szCs w:val="20"/>
              </w:rPr>
              <w:t>інші сполу</w:t>
            </w:r>
            <w:r>
              <w:rPr>
                <w:sz w:val="20"/>
                <w:szCs w:val="20"/>
              </w:rPr>
              <w:t>ки сірки,</w:t>
            </w:r>
            <w:r>
              <w:rPr>
                <w:sz w:val="20"/>
                <w:szCs w:val="20"/>
              </w:rPr>
              <w:br/>
              <w:t xml:space="preserve">сполуки азоту, оксиди вуглецю, неметанові леткі органічні </w:t>
            </w:r>
            <w:r w:rsidRPr="001F7262">
              <w:rPr>
                <w:sz w:val="20"/>
                <w:szCs w:val="20"/>
              </w:rPr>
              <w:t>сполуки,</w:t>
            </w:r>
            <w:r w:rsidRPr="001F7262">
              <w:rPr>
                <w:sz w:val="20"/>
                <w:szCs w:val="20"/>
              </w:rPr>
              <w:br/>
              <w:t>метали та їхні сполуки та</w:t>
            </w:r>
            <w:r w:rsidRPr="001F7262">
              <w:rPr>
                <w:sz w:val="20"/>
                <w:szCs w:val="20"/>
              </w:rPr>
              <w:br/>
              <w:t>інше)</w:t>
            </w:r>
          </w:p>
          <w:p w14:paraId="2A543395" w14:textId="77777777" w:rsidR="00842B19" w:rsidRPr="001F7262" w:rsidRDefault="00842B19" w:rsidP="00214364">
            <w:pPr>
              <w:pStyle w:val="NormalWeb"/>
              <w:spacing w:before="0" w:beforeAutospacing="0" w:after="0" w:afterAutospacing="0"/>
              <w:rPr>
                <w:sz w:val="20"/>
                <w:szCs w:val="20"/>
              </w:rPr>
            </w:pPr>
          </w:p>
        </w:tc>
        <w:tc>
          <w:tcPr>
            <w:tcW w:w="1134" w:type="dxa"/>
          </w:tcPr>
          <w:p w14:paraId="7B4B94BF" w14:textId="77777777" w:rsidR="00842B19" w:rsidRPr="001F7262" w:rsidRDefault="00842B19" w:rsidP="00214364">
            <w:pPr>
              <w:pStyle w:val="NormalWeb"/>
              <w:spacing w:before="0" w:beforeAutospacing="0" w:after="0" w:afterAutospacing="0"/>
              <w:jc w:val="center"/>
              <w:rPr>
                <w:sz w:val="20"/>
                <w:szCs w:val="20"/>
              </w:rPr>
            </w:pPr>
            <w:r w:rsidRPr="001F7262">
              <w:rPr>
                <w:sz w:val="20"/>
                <w:szCs w:val="20"/>
              </w:rPr>
              <w:t>1 раз на рік</w:t>
            </w:r>
          </w:p>
          <w:p w14:paraId="1D965761" w14:textId="77777777" w:rsidR="00842B19" w:rsidRPr="001F7262" w:rsidRDefault="00842B19" w:rsidP="00214364">
            <w:pPr>
              <w:pStyle w:val="NormalWeb"/>
              <w:spacing w:before="0" w:beforeAutospacing="0" w:after="0" w:afterAutospacing="0"/>
              <w:rPr>
                <w:sz w:val="20"/>
                <w:szCs w:val="20"/>
              </w:rPr>
            </w:pPr>
          </w:p>
          <w:p w14:paraId="2BA2DE9C" w14:textId="77777777" w:rsidR="00842B19" w:rsidRPr="001F7262" w:rsidRDefault="00842B19" w:rsidP="00214364">
            <w:pPr>
              <w:pStyle w:val="NormalWeb"/>
              <w:spacing w:before="0" w:beforeAutospacing="0" w:after="0" w:afterAutospacing="0"/>
              <w:rPr>
                <w:sz w:val="20"/>
                <w:szCs w:val="20"/>
              </w:rPr>
            </w:pPr>
          </w:p>
          <w:p w14:paraId="2242CD42" w14:textId="77777777" w:rsidR="00842B19" w:rsidRPr="001F7262" w:rsidRDefault="00842B19" w:rsidP="00214364">
            <w:pPr>
              <w:pStyle w:val="NormalWeb"/>
              <w:spacing w:before="0" w:beforeAutospacing="0" w:after="0" w:afterAutospacing="0"/>
              <w:rPr>
                <w:sz w:val="20"/>
                <w:szCs w:val="20"/>
              </w:rPr>
            </w:pPr>
          </w:p>
          <w:p w14:paraId="77C9147F" w14:textId="77777777" w:rsidR="00842B19" w:rsidRPr="001F7262" w:rsidRDefault="00842B19" w:rsidP="00214364">
            <w:pPr>
              <w:pStyle w:val="NormalWeb"/>
              <w:spacing w:before="0" w:beforeAutospacing="0" w:after="0" w:afterAutospacing="0"/>
              <w:rPr>
                <w:sz w:val="20"/>
                <w:szCs w:val="20"/>
              </w:rPr>
            </w:pPr>
          </w:p>
          <w:p w14:paraId="78243CD3" w14:textId="77777777" w:rsidR="00842B19" w:rsidRPr="001F7262" w:rsidRDefault="00842B19" w:rsidP="00214364">
            <w:pPr>
              <w:pStyle w:val="NormalWeb"/>
              <w:spacing w:before="0" w:beforeAutospacing="0" w:after="0" w:afterAutospacing="0"/>
              <w:rPr>
                <w:sz w:val="20"/>
                <w:szCs w:val="20"/>
              </w:rPr>
            </w:pPr>
          </w:p>
          <w:p w14:paraId="213E720D" w14:textId="77777777" w:rsidR="00842B19" w:rsidRDefault="00842B19" w:rsidP="00214364">
            <w:pPr>
              <w:pStyle w:val="NormalWeb"/>
              <w:spacing w:before="0" w:beforeAutospacing="0" w:after="0" w:afterAutospacing="0"/>
              <w:jc w:val="center"/>
              <w:rPr>
                <w:sz w:val="20"/>
                <w:szCs w:val="20"/>
              </w:rPr>
            </w:pPr>
          </w:p>
          <w:p w14:paraId="73AA18E3" w14:textId="77777777" w:rsidR="00842B19" w:rsidRDefault="00842B19" w:rsidP="00214364">
            <w:pPr>
              <w:pStyle w:val="NormalWeb"/>
              <w:spacing w:before="0" w:beforeAutospacing="0" w:after="0" w:afterAutospacing="0"/>
              <w:jc w:val="center"/>
              <w:rPr>
                <w:sz w:val="20"/>
                <w:szCs w:val="20"/>
              </w:rPr>
            </w:pPr>
          </w:p>
          <w:p w14:paraId="5F89B732" w14:textId="77777777" w:rsidR="00842B19" w:rsidRDefault="00842B19" w:rsidP="00214364">
            <w:pPr>
              <w:pStyle w:val="NormalWeb"/>
              <w:spacing w:before="0" w:beforeAutospacing="0" w:after="0" w:afterAutospacing="0"/>
              <w:jc w:val="center"/>
              <w:rPr>
                <w:sz w:val="20"/>
                <w:szCs w:val="20"/>
              </w:rPr>
            </w:pPr>
          </w:p>
          <w:p w14:paraId="4145E73C" w14:textId="77777777" w:rsidR="00842B19" w:rsidRDefault="00842B19" w:rsidP="00214364">
            <w:pPr>
              <w:pStyle w:val="NormalWeb"/>
              <w:spacing w:before="0" w:beforeAutospacing="0" w:after="0" w:afterAutospacing="0"/>
              <w:jc w:val="center"/>
              <w:rPr>
                <w:sz w:val="20"/>
                <w:szCs w:val="20"/>
              </w:rPr>
            </w:pPr>
          </w:p>
          <w:p w14:paraId="31C4BC1E" w14:textId="77777777" w:rsidR="00842B19" w:rsidRPr="001F7262" w:rsidRDefault="00842B19" w:rsidP="00214364">
            <w:pPr>
              <w:rPr>
                <w:rFonts w:ascii="Times New Roman" w:hAnsi="Times New Roman" w:cs="Times New Roman"/>
                <w:sz w:val="20"/>
                <w:szCs w:val="20"/>
              </w:rPr>
            </w:pPr>
          </w:p>
        </w:tc>
        <w:tc>
          <w:tcPr>
            <w:tcW w:w="1740" w:type="dxa"/>
          </w:tcPr>
          <w:p w14:paraId="19B2B95F" w14:textId="1AA67EA0" w:rsidR="00842B19" w:rsidRDefault="00842B19" w:rsidP="00214364">
            <w:pPr>
              <w:pStyle w:val="NormalWeb"/>
              <w:spacing w:before="0" w:beforeAutospacing="0" w:after="0" w:afterAutospacing="0"/>
              <w:jc w:val="center"/>
              <w:rPr>
                <w:sz w:val="20"/>
                <w:szCs w:val="20"/>
              </w:rPr>
            </w:pPr>
            <w:r w:rsidRPr="001F7262">
              <w:rPr>
                <w:sz w:val="20"/>
                <w:szCs w:val="20"/>
              </w:rPr>
              <w:t>Представники Держпродспожи</w:t>
            </w:r>
            <w:r w:rsidRPr="001F7262">
              <w:rPr>
                <w:sz w:val="20"/>
                <w:szCs w:val="20"/>
              </w:rPr>
              <w:br/>
              <w:t>вслужби у</w:t>
            </w:r>
            <w:r w:rsidRPr="001F7262">
              <w:rPr>
                <w:sz w:val="20"/>
                <w:szCs w:val="20"/>
              </w:rPr>
              <w:br/>
            </w:r>
            <w:r w:rsidR="008B2A70">
              <w:rPr>
                <w:sz w:val="20"/>
                <w:szCs w:val="20"/>
                <w:lang w:val="uk-UA"/>
              </w:rPr>
              <w:t>Волинській</w:t>
            </w:r>
            <w:r w:rsidRPr="001F7262">
              <w:rPr>
                <w:sz w:val="20"/>
                <w:szCs w:val="20"/>
              </w:rPr>
              <w:br/>
              <w:t>області,</w:t>
            </w:r>
            <w:r w:rsidRPr="001F7262">
              <w:rPr>
                <w:sz w:val="20"/>
                <w:szCs w:val="20"/>
              </w:rPr>
              <w:br/>
              <w:t>Державна</w:t>
            </w:r>
            <w:r w:rsidRPr="001F7262">
              <w:rPr>
                <w:sz w:val="20"/>
                <w:szCs w:val="20"/>
              </w:rPr>
              <w:br/>
              <w:t>екологічна</w:t>
            </w:r>
            <w:r w:rsidRPr="001F7262">
              <w:rPr>
                <w:sz w:val="20"/>
                <w:szCs w:val="20"/>
              </w:rPr>
              <w:br/>
              <w:t>інспекція</w:t>
            </w:r>
            <w:r w:rsidRPr="001F7262">
              <w:rPr>
                <w:sz w:val="20"/>
                <w:szCs w:val="20"/>
              </w:rPr>
              <w:br/>
            </w:r>
            <w:r w:rsidR="008B2A70">
              <w:rPr>
                <w:sz w:val="20"/>
                <w:szCs w:val="20"/>
                <w:lang w:val="uk-UA"/>
              </w:rPr>
              <w:t>Волинськ</w:t>
            </w:r>
            <w:r w:rsidR="008B2A70">
              <w:rPr>
                <w:sz w:val="20"/>
                <w:szCs w:val="20"/>
                <w:lang w:val="uk-UA"/>
              </w:rPr>
              <w:t xml:space="preserve">ої </w:t>
            </w:r>
            <w:r w:rsidR="00C05032">
              <w:rPr>
                <w:sz w:val="20"/>
                <w:szCs w:val="20"/>
                <w:lang w:val="uk-UA"/>
              </w:rPr>
              <w:t>області</w:t>
            </w:r>
          </w:p>
          <w:p w14:paraId="787E1F24" w14:textId="77777777" w:rsidR="00842B19" w:rsidRPr="001F7262" w:rsidRDefault="00842B19" w:rsidP="00214364">
            <w:pPr>
              <w:pStyle w:val="NormalWeb"/>
              <w:spacing w:before="0" w:beforeAutospacing="0" w:after="0" w:afterAutospacing="0"/>
              <w:jc w:val="center"/>
              <w:rPr>
                <w:sz w:val="20"/>
                <w:szCs w:val="20"/>
              </w:rPr>
            </w:pPr>
          </w:p>
        </w:tc>
        <w:tc>
          <w:tcPr>
            <w:tcW w:w="1803" w:type="dxa"/>
          </w:tcPr>
          <w:p w14:paraId="197D99AC" w14:textId="77777777" w:rsidR="00842B19" w:rsidRPr="001F7262" w:rsidRDefault="00842B19" w:rsidP="00214364">
            <w:pPr>
              <w:pStyle w:val="NormalWeb"/>
              <w:shd w:val="clear" w:color="auto" w:fill="FFFFFF"/>
              <w:spacing w:before="0" w:beforeAutospacing="0" w:after="0" w:afterAutospacing="0"/>
              <w:jc w:val="center"/>
              <w:rPr>
                <w:sz w:val="20"/>
                <w:szCs w:val="20"/>
              </w:rPr>
            </w:pPr>
            <w:r w:rsidRPr="001F7262">
              <w:rPr>
                <w:sz w:val="20"/>
                <w:szCs w:val="20"/>
              </w:rPr>
              <w:t>Відповідність: статті 9,10, 17 ЗУ Про охорону атмосферного повітря No 2707-ХП;</w:t>
            </w:r>
            <w:r w:rsidRPr="001F7262">
              <w:rPr>
                <w:sz w:val="20"/>
                <w:szCs w:val="20"/>
              </w:rPr>
              <w:br/>
              <w:t>ЗУ 3353-12 від 28.04.2017 ДСТУ 4276:2004 та ДСТУ 4277:2004</w:t>
            </w:r>
          </w:p>
          <w:p w14:paraId="027D1D0D" w14:textId="77777777" w:rsidR="00842B19" w:rsidRPr="001F7262" w:rsidRDefault="00842B19" w:rsidP="00214364">
            <w:pPr>
              <w:pStyle w:val="NormalWeb"/>
              <w:shd w:val="clear" w:color="auto" w:fill="FFFFFF"/>
              <w:spacing w:before="0" w:beforeAutospacing="0" w:after="0" w:afterAutospacing="0"/>
              <w:rPr>
                <w:sz w:val="20"/>
                <w:szCs w:val="20"/>
              </w:rPr>
            </w:pPr>
          </w:p>
          <w:p w14:paraId="14D02CBB" w14:textId="77777777" w:rsidR="00842B19" w:rsidRPr="001F7262" w:rsidRDefault="00842B19" w:rsidP="00214364">
            <w:pPr>
              <w:pStyle w:val="NormalWeb"/>
              <w:shd w:val="clear" w:color="auto" w:fill="FFFFFF"/>
              <w:spacing w:before="0" w:beforeAutospacing="0" w:after="0" w:afterAutospacing="0"/>
              <w:rPr>
                <w:sz w:val="20"/>
                <w:szCs w:val="20"/>
              </w:rPr>
            </w:pPr>
          </w:p>
          <w:p w14:paraId="1150AD79" w14:textId="77777777" w:rsidR="00842B19" w:rsidRPr="001F7262" w:rsidRDefault="00842B19" w:rsidP="00214364">
            <w:pPr>
              <w:pStyle w:val="NormalWeb"/>
              <w:shd w:val="clear" w:color="auto" w:fill="FFFFFF"/>
              <w:spacing w:before="0" w:beforeAutospacing="0" w:after="0" w:afterAutospacing="0"/>
              <w:rPr>
                <w:sz w:val="20"/>
                <w:szCs w:val="20"/>
              </w:rPr>
            </w:pPr>
          </w:p>
          <w:p w14:paraId="5F1BB387" w14:textId="77777777" w:rsidR="00842B19" w:rsidRDefault="00842B19" w:rsidP="00214364">
            <w:pPr>
              <w:pStyle w:val="NormalWeb"/>
              <w:shd w:val="clear" w:color="auto" w:fill="FFFFFF"/>
              <w:spacing w:before="0" w:beforeAutospacing="0" w:after="0" w:afterAutospacing="0"/>
              <w:jc w:val="center"/>
              <w:rPr>
                <w:sz w:val="20"/>
                <w:szCs w:val="20"/>
              </w:rPr>
            </w:pPr>
          </w:p>
          <w:p w14:paraId="44C32134" w14:textId="77777777" w:rsidR="00842B19" w:rsidRDefault="00842B19" w:rsidP="00214364">
            <w:pPr>
              <w:pStyle w:val="NormalWeb"/>
              <w:shd w:val="clear" w:color="auto" w:fill="FFFFFF"/>
              <w:spacing w:before="0" w:beforeAutospacing="0" w:after="0" w:afterAutospacing="0"/>
              <w:jc w:val="center"/>
              <w:rPr>
                <w:sz w:val="20"/>
                <w:szCs w:val="20"/>
              </w:rPr>
            </w:pPr>
          </w:p>
          <w:p w14:paraId="0CDD9598" w14:textId="77777777" w:rsidR="00842B19" w:rsidRDefault="00842B19" w:rsidP="00214364">
            <w:pPr>
              <w:pStyle w:val="NormalWeb"/>
              <w:shd w:val="clear" w:color="auto" w:fill="FFFFFF"/>
              <w:spacing w:before="0" w:beforeAutospacing="0" w:after="0" w:afterAutospacing="0"/>
              <w:jc w:val="center"/>
              <w:rPr>
                <w:sz w:val="20"/>
                <w:szCs w:val="20"/>
              </w:rPr>
            </w:pPr>
          </w:p>
          <w:p w14:paraId="2BC0A98F" w14:textId="77777777" w:rsidR="00842B19" w:rsidRPr="001F7262" w:rsidRDefault="00842B19" w:rsidP="00214364">
            <w:pPr>
              <w:pStyle w:val="NormalWeb"/>
              <w:spacing w:before="0" w:beforeAutospacing="0" w:after="0" w:afterAutospacing="0"/>
              <w:rPr>
                <w:sz w:val="20"/>
                <w:szCs w:val="20"/>
              </w:rPr>
            </w:pPr>
          </w:p>
        </w:tc>
      </w:tr>
      <w:tr w:rsidR="00842B19" w14:paraId="2B97B77E" w14:textId="77777777" w:rsidTr="00214364">
        <w:trPr>
          <w:trHeight w:val="2208"/>
        </w:trPr>
        <w:tc>
          <w:tcPr>
            <w:tcW w:w="1495" w:type="dxa"/>
            <w:vMerge/>
          </w:tcPr>
          <w:p w14:paraId="37B1BB68" w14:textId="77777777" w:rsidR="00842B19" w:rsidRPr="001F7262" w:rsidRDefault="00842B19" w:rsidP="00214364">
            <w:pPr>
              <w:pStyle w:val="NormalWeb"/>
              <w:spacing w:before="0" w:after="0" w:line="360" w:lineRule="auto"/>
              <w:jc w:val="center"/>
              <w:rPr>
                <w:sz w:val="20"/>
                <w:szCs w:val="20"/>
              </w:rPr>
            </w:pPr>
          </w:p>
        </w:tc>
        <w:tc>
          <w:tcPr>
            <w:tcW w:w="3178" w:type="dxa"/>
          </w:tcPr>
          <w:p w14:paraId="386F4B97" w14:textId="77777777" w:rsidR="00842B19" w:rsidRPr="001F7262" w:rsidRDefault="00842B19" w:rsidP="00214364">
            <w:pPr>
              <w:pStyle w:val="NormalWeb"/>
              <w:spacing w:before="0" w:beforeAutospacing="0" w:after="0" w:afterAutospacing="0"/>
              <w:jc w:val="center"/>
              <w:rPr>
                <w:sz w:val="20"/>
                <w:szCs w:val="20"/>
              </w:rPr>
            </w:pPr>
            <w:r w:rsidRPr="001F7262">
              <w:rPr>
                <w:sz w:val="20"/>
                <w:szCs w:val="20"/>
              </w:rPr>
              <w:t>Концентрації забруднюючих речовин на межі</w:t>
            </w:r>
            <w:r>
              <w:rPr>
                <w:sz w:val="20"/>
                <w:szCs w:val="20"/>
              </w:rPr>
              <w:t xml:space="preserve"> СЗЗ виробничих територій</w:t>
            </w:r>
          </w:p>
          <w:p w14:paraId="20B3AC49" w14:textId="77777777" w:rsidR="00842B19" w:rsidRPr="001F7262" w:rsidRDefault="00842B19" w:rsidP="00214364">
            <w:pPr>
              <w:pStyle w:val="NormalWeb"/>
              <w:spacing w:before="0" w:after="0" w:line="360" w:lineRule="auto"/>
              <w:rPr>
                <w:sz w:val="20"/>
                <w:szCs w:val="20"/>
              </w:rPr>
            </w:pPr>
          </w:p>
        </w:tc>
        <w:tc>
          <w:tcPr>
            <w:tcW w:w="1134" w:type="dxa"/>
          </w:tcPr>
          <w:p w14:paraId="27E52A7D" w14:textId="77777777" w:rsidR="00842B19" w:rsidRPr="001F7262" w:rsidRDefault="00842B19" w:rsidP="00214364">
            <w:pPr>
              <w:pStyle w:val="NormalWeb"/>
              <w:spacing w:before="0" w:beforeAutospacing="0" w:after="0" w:afterAutospacing="0"/>
              <w:jc w:val="center"/>
              <w:rPr>
                <w:sz w:val="20"/>
                <w:szCs w:val="20"/>
              </w:rPr>
            </w:pPr>
            <w:r w:rsidRPr="001F7262">
              <w:rPr>
                <w:sz w:val="20"/>
                <w:szCs w:val="20"/>
              </w:rPr>
              <w:t>1 раз на рік</w:t>
            </w:r>
          </w:p>
          <w:p w14:paraId="1D9BB935" w14:textId="77777777" w:rsidR="00842B19" w:rsidRPr="001F7262" w:rsidRDefault="00842B19" w:rsidP="00214364">
            <w:pPr>
              <w:rPr>
                <w:rFonts w:ascii="Times New Roman" w:hAnsi="Times New Roman" w:cs="Times New Roman"/>
                <w:sz w:val="20"/>
                <w:szCs w:val="20"/>
              </w:rPr>
            </w:pPr>
          </w:p>
          <w:p w14:paraId="7A1CD7C7" w14:textId="77777777" w:rsidR="00842B19" w:rsidRPr="001F7262" w:rsidRDefault="00842B19" w:rsidP="00214364">
            <w:pPr>
              <w:rPr>
                <w:rFonts w:ascii="Times New Roman" w:hAnsi="Times New Roman" w:cs="Times New Roman"/>
                <w:sz w:val="20"/>
                <w:szCs w:val="20"/>
              </w:rPr>
            </w:pPr>
          </w:p>
          <w:p w14:paraId="3F8EEFF8" w14:textId="77777777" w:rsidR="00842B19" w:rsidRPr="001F7262" w:rsidRDefault="00842B19" w:rsidP="00214364">
            <w:pPr>
              <w:rPr>
                <w:sz w:val="20"/>
                <w:szCs w:val="20"/>
              </w:rPr>
            </w:pPr>
          </w:p>
        </w:tc>
        <w:tc>
          <w:tcPr>
            <w:tcW w:w="1740" w:type="dxa"/>
          </w:tcPr>
          <w:p w14:paraId="6998CE8A" w14:textId="77777777" w:rsidR="00842B19" w:rsidRPr="001F7262" w:rsidRDefault="00842B19" w:rsidP="00214364">
            <w:pPr>
              <w:pStyle w:val="NormalWeb"/>
              <w:spacing w:before="0" w:after="0"/>
              <w:jc w:val="center"/>
              <w:rPr>
                <w:sz w:val="20"/>
                <w:szCs w:val="20"/>
              </w:rPr>
            </w:pPr>
            <w:r w:rsidRPr="001F7262">
              <w:rPr>
                <w:sz w:val="20"/>
                <w:szCs w:val="20"/>
              </w:rPr>
              <w:t>Представники Держпродспоживслужби</w:t>
            </w:r>
          </w:p>
        </w:tc>
        <w:tc>
          <w:tcPr>
            <w:tcW w:w="1803" w:type="dxa"/>
          </w:tcPr>
          <w:p w14:paraId="26386EFC" w14:textId="77777777" w:rsidR="00842B19" w:rsidRPr="001F7262" w:rsidRDefault="00842B19" w:rsidP="00214364">
            <w:pPr>
              <w:pStyle w:val="NormalWeb"/>
              <w:shd w:val="clear" w:color="auto" w:fill="FFFFFF"/>
              <w:spacing w:before="0" w:beforeAutospacing="0" w:after="0" w:afterAutospacing="0"/>
              <w:jc w:val="center"/>
              <w:rPr>
                <w:sz w:val="20"/>
                <w:szCs w:val="20"/>
              </w:rPr>
            </w:pPr>
            <w:r w:rsidRPr="001F7262">
              <w:rPr>
                <w:sz w:val="20"/>
                <w:szCs w:val="20"/>
              </w:rPr>
              <w:t>Відповідність встановленим гранично допустимим концентраціям хімічних і біологічних речовин.</w:t>
            </w:r>
          </w:p>
          <w:p w14:paraId="5E066DC5" w14:textId="77777777" w:rsidR="00842B19" w:rsidRPr="001F7262" w:rsidRDefault="00842B19" w:rsidP="00214364">
            <w:pPr>
              <w:pStyle w:val="NormalWeb"/>
              <w:shd w:val="clear" w:color="auto" w:fill="FFFFFF"/>
              <w:spacing w:before="0" w:beforeAutospacing="0" w:after="0" w:afterAutospacing="0"/>
              <w:rPr>
                <w:sz w:val="20"/>
                <w:szCs w:val="20"/>
              </w:rPr>
            </w:pPr>
          </w:p>
          <w:p w14:paraId="37AE0F8F" w14:textId="77777777" w:rsidR="00842B19" w:rsidRPr="001F7262" w:rsidRDefault="00842B19" w:rsidP="00214364">
            <w:pPr>
              <w:pStyle w:val="NormalWeb"/>
              <w:spacing w:before="0" w:after="0" w:line="360" w:lineRule="auto"/>
              <w:rPr>
                <w:sz w:val="20"/>
                <w:szCs w:val="20"/>
              </w:rPr>
            </w:pPr>
          </w:p>
        </w:tc>
      </w:tr>
      <w:tr w:rsidR="00842B19" w14:paraId="635B48A3" w14:textId="77777777" w:rsidTr="00214364">
        <w:trPr>
          <w:trHeight w:val="370"/>
        </w:trPr>
        <w:tc>
          <w:tcPr>
            <w:tcW w:w="1495" w:type="dxa"/>
          </w:tcPr>
          <w:p w14:paraId="76672EBE" w14:textId="77777777" w:rsidR="00842B19" w:rsidRPr="004E3423" w:rsidRDefault="00842B19" w:rsidP="00214364">
            <w:pPr>
              <w:pStyle w:val="NormalWeb"/>
              <w:spacing w:before="0" w:beforeAutospacing="0" w:after="0" w:afterAutospacing="0" w:line="360" w:lineRule="auto"/>
              <w:jc w:val="center"/>
              <w:rPr>
                <w:sz w:val="20"/>
                <w:szCs w:val="20"/>
              </w:rPr>
            </w:pPr>
            <w:r w:rsidRPr="004E3423">
              <w:rPr>
                <w:sz w:val="20"/>
                <w:szCs w:val="20"/>
              </w:rPr>
              <w:t>Грунти</w:t>
            </w:r>
          </w:p>
        </w:tc>
        <w:tc>
          <w:tcPr>
            <w:tcW w:w="3178" w:type="dxa"/>
          </w:tcPr>
          <w:p w14:paraId="6F792449" w14:textId="77777777" w:rsidR="00842B19" w:rsidRPr="004E3423" w:rsidRDefault="00842B19" w:rsidP="00214364">
            <w:pPr>
              <w:pStyle w:val="NormalWeb"/>
              <w:shd w:val="clear" w:color="auto" w:fill="FFFFFF"/>
              <w:spacing w:before="0" w:beforeAutospacing="0" w:after="0" w:afterAutospacing="0"/>
              <w:jc w:val="center"/>
              <w:rPr>
                <w:sz w:val="20"/>
                <w:szCs w:val="20"/>
              </w:rPr>
            </w:pPr>
            <w:r w:rsidRPr="004E3423">
              <w:rPr>
                <w:sz w:val="20"/>
                <w:szCs w:val="20"/>
              </w:rPr>
              <w:t>Стан ґрунтів, порушених при виконанні запроектованих заходів</w:t>
            </w:r>
          </w:p>
          <w:p w14:paraId="1571E8B4" w14:textId="77777777" w:rsidR="00842B19" w:rsidRPr="004E3423" w:rsidRDefault="00842B19" w:rsidP="00214364">
            <w:pPr>
              <w:pStyle w:val="NormalWeb"/>
              <w:spacing w:before="0" w:beforeAutospacing="0" w:after="0" w:afterAutospacing="0" w:line="360" w:lineRule="auto"/>
              <w:jc w:val="center"/>
              <w:rPr>
                <w:sz w:val="20"/>
                <w:szCs w:val="20"/>
              </w:rPr>
            </w:pPr>
          </w:p>
        </w:tc>
        <w:tc>
          <w:tcPr>
            <w:tcW w:w="1134" w:type="dxa"/>
          </w:tcPr>
          <w:p w14:paraId="4DF8EF52" w14:textId="77777777" w:rsidR="00842B19" w:rsidRPr="004E3423" w:rsidRDefault="00842B19" w:rsidP="00214364">
            <w:pPr>
              <w:pStyle w:val="NormalWeb"/>
              <w:spacing w:before="0" w:beforeAutospacing="0" w:after="0" w:afterAutospacing="0" w:line="360" w:lineRule="auto"/>
              <w:jc w:val="center"/>
              <w:rPr>
                <w:sz w:val="20"/>
                <w:szCs w:val="20"/>
              </w:rPr>
            </w:pPr>
            <w:r w:rsidRPr="004E3423">
              <w:rPr>
                <w:sz w:val="20"/>
                <w:szCs w:val="20"/>
              </w:rPr>
              <w:t>1 раз на рік</w:t>
            </w:r>
          </w:p>
        </w:tc>
        <w:tc>
          <w:tcPr>
            <w:tcW w:w="1740" w:type="dxa"/>
          </w:tcPr>
          <w:p w14:paraId="620203E3" w14:textId="77777777" w:rsidR="00842B19" w:rsidRPr="004E3423" w:rsidRDefault="00842B19" w:rsidP="00214364">
            <w:pPr>
              <w:pStyle w:val="NormalWeb"/>
              <w:spacing w:before="0" w:beforeAutospacing="0" w:after="0" w:afterAutospacing="0" w:line="360" w:lineRule="auto"/>
              <w:jc w:val="center"/>
              <w:rPr>
                <w:sz w:val="20"/>
                <w:szCs w:val="20"/>
              </w:rPr>
            </w:pPr>
            <w:r w:rsidRPr="004E3423">
              <w:rPr>
                <w:sz w:val="20"/>
                <w:szCs w:val="20"/>
              </w:rPr>
              <w:t>Відділ лабораторних досліджень</w:t>
            </w:r>
          </w:p>
        </w:tc>
        <w:tc>
          <w:tcPr>
            <w:tcW w:w="1803" w:type="dxa"/>
          </w:tcPr>
          <w:p w14:paraId="025C1946" w14:textId="77777777" w:rsidR="00842B19" w:rsidRPr="004E3423" w:rsidRDefault="00842B19" w:rsidP="00214364">
            <w:pPr>
              <w:pStyle w:val="NormalWeb"/>
              <w:shd w:val="clear" w:color="auto" w:fill="FFFFFF"/>
              <w:spacing w:before="0" w:beforeAutospacing="0" w:after="0" w:afterAutospacing="0"/>
              <w:jc w:val="center"/>
              <w:rPr>
                <w:sz w:val="20"/>
                <w:szCs w:val="20"/>
              </w:rPr>
            </w:pPr>
            <w:r w:rsidRPr="004E3423">
              <w:rPr>
                <w:sz w:val="20"/>
                <w:szCs w:val="20"/>
              </w:rPr>
              <w:t>Відповідність встановленим гранично допустимим концентраціям хімічних і біологічних речовин.</w:t>
            </w:r>
          </w:p>
          <w:p w14:paraId="224244EF" w14:textId="77777777" w:rsidR="00842B19" w:rsidRPr="004E3423" w:rsidRDefault="00842B19" w:rsidP="00214364">
            <w:pPr>
              <w:pStyle w:val="NormalWeb"/>
              <w:spacing w:before="0" w:beforeAutospacing="0" w:after="0" w:afterAutospacing="0" w:line="360" w:lineRule="auto"/>
              <w:jc w:val="center"/>
              <w:rPr>
                <w:sz w:val="20"/>
                <w:szCs w:val="20"/>
              </w:rPr>
            </w:pPr>
          </w:p>
        </w:tc>
      </w:tr>
      <w:tr w:rsidR="00842B19" w14:paraId="15275215" w14:textId="77777777" w:rsidTr="00214364">
        <w:tc>
          <w:tcPr>
            <w:tcW w:w="1495" w:type="dxa"/>
          </w:tcPr>
          <w:p w14:paraId="3FFE6E74" w14:textId="77777777" w:rsidR="00842B19" w:rsidRPr="004E3423" w:rsidRDefault="00842B19" w:rsidP="00214364">
            <w:pPr>
              <w:pStyle w:val="NormalWeb"/>
              <w:spacing w:before="0" w:beforeAutospacing="0" w:after="0" w:afterAutospacing="0" w:line="360" w:lineRule="auto"/>
              <w:jc w:val="center"/>
              <w:rPr>
                <w:sz w:val="20"/>
                <w:szCs w:val="20"/>
              </w:rPr>
            </w:pPr>
            <w:r w:rsidRPr="004E3423">
              <w:rPr>
                <w:sz w:val="20"/>
                <w:szCs w:val="20"/>
              </w:rPr>
              <w:t>Відходи</w:t>
            </w:r>
          </w:p>
        </w:tc>
        <w:tc>
          <w:tcPr>
            <w:tcW w:w="3178" w:type="dxa"/>
          </w:tcPr>
          <w:p w14:paraId="1EE03ECB" w14:textId="77777777" w:rsidR="00842B19" w:rsidRDefault="00842B19" w:rsidP="00214364">
            <w:pPr>
              <w:pStyle w:val="NormalWeb"/>
              <w:shd w:val="clear" w:color="auto" w:fill="FFFFFF"/>
              <w:spacing w:before="0" w:beforeAutospacing="0" w:after="0" w:afterAutospacing="0"/>
              <w:jc w:val="center"/>
              <w:rPr>
                <w:sz w:val="20"/>
                <w:szCs w:val="20"/>
              </w:rPr>
            </w:pPr>
            <w:r w:rsidRPr="004E3423">
              <w:rPr>
                <w:sz w:val="20"/>
                <w:szCs w:val="20"/>
              </w:rPr>
              <w:t>кількість</w:t>
            </w:r>
            <w:r w:rsidRPr="004E3423">
              <w:rPr>
                <w:sz w:val="20"/>
                <w:szCs w:val="20"/>
              </w:rPr>
              <w:br/>
              <w:t>утворених, зібраних</w:t>
            </w:r>
            <w:r w:rsidRPr="004E3423">
              <w:rPr>
                <w:sz w:val="20"/>
                <w:szCs w:val="20"/>
              </w:rPr>
              <w:br/>
            </w:r>
            <w:r w:rsidRPr="004E3423">
              <w:rPr>
                <w:sz w:val="20"/>
                <w:szCs w:val="20"/>
              </w:rPr>
              <w:lastRenderedPageBreak/>
              <w:t>відходів та відправлених</w:t>
            </w:r>
            <w:r w:rsidRPr="004E3423">
              <w:rPr>
                <w:sz w:val="20"/>
                <w:szCs w:val="20"/>
              </w:rPr>
              <w:br/>
              <w:t>на переробку, кількість</w:t>
            </w:r>
            <w:r w:rsidRPr="004E3423">
              <w:rPr>
                <w:sz w:val="20"/>
                <w:szCs w:val="20"/>
              </w:rPr>
              <w:br/>
              <w:t>зібраної вторсировини</w:t>
            </w:r>
            <w:r>
              <w:rPr>
                <w:sz w:val="20"/>
                <w:szCs w:val="20"/>
              </w:rPr>
              <w:t>.</w:t>
            </w:r>
          </w:p>
          <w:p w14:paraId="1BD5C5BE" w14:textId="77777777" w:rsidR="00842B19" w:rsidRPr="004E3423" w:rsidRDefault="00842B19" w:rsidP="00214364">
            <w:pPr>
              <w:pStyle w:val="NormalWeb"/>
              <w:shd w:val="clear" w:color="auto" w:fill="FFFFFF"/>
              <w:spacing w:before="0" w:beforeAutospacing="0" w:after="0" w:afterAutospacing="0"/>
              <w:jc w:val="center"/>
              <w:rPr>
                <w:sz w:val="20"/>
                <w:szCs w:val="20"/>
              </w:rPr>
            </w:pPr>
            <w:r>
              <w:rPr>
                <w:sz w:val="20"/>
                <w:szCs w:val="20"/>
              </w:rPr>
              <w:t>Наявність шкідливих відходів виробництва.</w:t>
            </w:r>
          </w:p>
        </w:tc>
        <w:tc>
          <w:tcPr>
            <w:tcW w:w="1134" w:type="dxa"/>
          </w:tcPr>
          <w:p w14:paraId="730FD540" w14:textId="77777777" w:rsidR="00842B19" w:rsidRPr="004E3423" w:rsidRDefault="00842B19" w:rsidP="00214364">
            <w:pPr>
              <w:pStyle w:val="NormalWeb"/>
              <w:shd w:val="clear" w:color="auto" w:fill="FFFFFF"/>
              <w:spacing w:before="0" w:beforeAutospacing="0" w:after="0" w:afterAutospacing="0"/>
              <w:jc w:val="center"/>
              <w:rPr>
                <w:sz w:val="20"/>
                <w:szCs w:val="20"/>
              </w:rPr>
            </w:pPr>
            <w:r w:rsidRPr="004E3423">
              <w:rPr>
                <w:sz w:val="20"/>
                <w:szCs w:val="20"/>
              </w:rPr>
              <w:lastRenderedPageBreak/>
              <w:t xml:space="preserve">Відповідно до плану </w:t>
            </w:r>
            <w:r w:rsidRPr="004E3423">
              <w:rPr>
                <w:sz w:val="20"/>
                <w:szCs w:val="20"/>
              </w:rPr>
              <w:lastRenderedPageBreak/>
              <w:t>перевірок та позапланово</w:t>
            </w:r>
          </w:p>
          <w:p w14:paraId="4174E02D" w14:textId="77777777" w:rsidR="00842B19" w:rsidRPr="004E3423" w:rsidRDefault="00842B19" w:rsidP="00214364">
            <w:pPr>
              <w:pStyle w:val="NormalWeb"/>
              <w:spacing w:before="0" w:beforeAutospacing="0" w:after="0" w:afterAutospacing="0" w:line="360" w:lineRule="auto"/>
              <w:jc w:val="center"/>
              <w:rPr>
                <w:sz w:val="20"/>
                <w:szCs w:val="20"/>
              </w:rPr>
            </w:pPr>
          </w:p>
        </w:tc>
        <w:tc>
          <w:tcPr>
            <w:tcW w:w="1740" w:type="dxa"/>
          </w:tcPr>
          <w:p w14:paraId="3BC8F5CA" w14:textId="77777777" w:rsidR="00842B19" w:rsidRPr="004E3423" w:rsidRDefault="00842B19" w:rsidP="00214364">
            <w:pPr>
              <w:pStyle w:val="NormalWeb"/>
              <w:shd w:val="clear" w:color="auto" w:fill="FFFFFF"/>
              <w:spacing w:before="0" w:beforeAutospacing="0" w:after="0" w:afterAutospacing="0"/>
              <w:jc w:val="center"/>
              <w:rPr>
                <w:sz w:val="20"/>
                <w:szCs w:val="20"/>
              </w:rPr>
            </w:pPr>
            <w:r w:rsidRPr="004E3423">
              <w:rPr>
                <w:sz w:val="20"/>
                <w:szCs w:val="20"/>
              </w:rPr>
              <w:lastRenderedPageBreak/>
              <w:t>Представники Держпродспожив</w:t>
            </w:r>
            <w:r w:rsidRPr="004E3423">
              <w:rPr>
                <w:sz w:val="20"/>
                <w:szCs w:val="20"/>
              </w:rPr>
              <w:lastRenderedPageBreak/>
              <w:t>служби, Державної екологічної інспекції, представники органів місцевого самоврядування та місцевих громадських організацій</w:t>
            </w:r>
          </w:p>
          <w:p w14:paraId="278A1F40" w14:textId="77777777" w:rsidR="00842B19" w:rsidRPr="004E3423" w:rsidRDefault="00842B19" w:rsidP="00214364">
            <w:pPr>
              <w:pStyle w:val="NormalWeb"/>
              <w:spacing w:before="0" w:beforeAutospacing="0" w:after="0" w:afterAutospacing="0" w:line="360" w:lineRule="auto"/>
              <w:jc w:val="center"/>
              <w:rPr>
                <w:sz w:val="20"/>
                <w:szCs w:val="20"/>
              </w:rPr>
            </w:pPr>
          </w:p>
        </w:tc>
        <w:tc>
          <w:tcPr>
            <w:tcW w:w="1803" w:type="dxa"/>
          </w:tcPr>
          <w:p w14:paraId="78DD9E0F" w14:textId="77777777" w:rsidR="00842B19" w:rsidRPr="004E3423" w:rsidRDefault="00842B19" w:rsidP="00214364">
            <w:pPr>
              <w:pStyle w:val="NormalWeb"/>
              <w:shd w:val="clear" w:color="auto" w:fill="FFFFFF"/>
              <w:spacing w:before="0" w:beforeAutospacing="0" w:after="0" w:afterAutospacing="0"/>
              <w:jc w:val="center"/>
              <w:rPr>
                <w:sz w:val="20"/>
                <w:szCs w:val="20"/>
              </w:rPr>
            </w:pPr>
            <w:r w:rsidRPr="004E3423">
              <w:rPr>
                <w:sz w:val="20"/>
                <w:szCs w:val="20"/>
              </w:rPr>
              <w:lastRenderedPageBreak/>
              <w:t xml:space="preserve">Відповідно до визначених </w:t>
            </w:r>
            <w:r w:rsidRPr="004E3423">
              <w:rPr>
                <w:sz w:val="20"/>
                <w:szCs w:val="20"/>
              </w:rPr>
              <w:lastRenderedPageBreak/>
              <w:t>законодавством умов зберігання відходів</w:t>
            </w:r>
          </w:p>
          <w:p w14:paraId="69058E0C" w14:textId="77777777" w:rsidR="00842B19" w:rsidRPr="004E3423" w:rsidRDefault="00842B19" w:rsidP="00214364">
            <w:pPr>
              <w:pStyle w:val="NormalWeb"/>
              <w:spacing w:before="0" w:beforeAutospacing="0" w:after="0" w:afterAutospacing="0" w:line="360" w:lineRule="auto"/>
              <w:jc w:val="center"/>
              <w:rPr>
                <w:sz w:val="20"/>
                <w:szCs w:val="20"/>
              </w:rPr>
            </w:pPr>
          </w:p>
        </w:tc>
      </w:tr>
      <w:tr w:rsidR="00842B19" w14:paraId="141D1823" w14:textId="77777777" w:rsidTr="00214364">
        <w:tc>
          <w:tcPr>
            <w:tcW w:w="1495" w:type="dxa"/>
          </w:tcPr>
          <w:p w14:paraId="20849C70" w14:textId="77777777" w:rsidR="00842B19" w:rsidRPr="004E3423" w:rsidRDefault="00842B19" w:rsidP="00214364">
            <w:pPr>
              <w:pStyle w:val="NormalWeb"/>
              <w:spacing w:before="0" w:beforeAutospacing="0" w:after="0" w:afterAutospacing="0" w:line="360" w:lineRule="auto"/>
              <w:jc w:val="center"/>
              <w:rPr>
                <w:sz w:val="20"/>
                <w:szCs w:val="20"/>
              </w:rPr>
            </w:pPr>
            <w:r w:rsidRPr="004E3423">
              <w:rPr>
                <w:sz w:val="20"/>
                <w:szCs w:val="20"/>
              </w:rPr>
              <w:lastRenderedPageBreak/>
              <w:t>Рослинний та тваринний світ</w:t>
            </w:r>
          </w:p>
        </w:tc>
        <w:tc>
          <w:tcPr>
            <w:tcW w:w="3178" w:type="dxa"/>
          </w:tcPr>
          <w:p w14:paraId="1A723FFE" w14:textId="77777777" w:rsidR="00842B19" w:rsidRPr="004E3423" w:rsidRDefault="00842B19" w:rsidP="00214364">
            <w:pPr>
              <w:pStyle w:val="NormalWeb"/>
              <w:spacing w:before="0" w:beforeAutospacing="0" w:after="0" w:afterAutospacing="0" w:line="360" w:lineRule="auto"/>
              <w:jc w:val="center"/>
              <w:rPr>
                <w:sz w:val="20"/>
                <w:szCs w:val="20"/>
              </w:rPr>
            </w:pPr>
            <w:r w:rsidRPr="004E3423">
              <w:rPr>
                <w:sz w:val="20"/>
                <w:szCs w:val="20"/>
              </w:rPr>
              <w:t>На межі будівельних майданчиків</w:t>
            </w:r>
          </w:p>
        </w:tc>
        <w:tc>
          <w:tcPr>
            <w:tcW w:w="1134" w:type="dxa"/>
          </w:tcPr>
          <w:p w14:paraId="2C0DBBCE" w14:textId="77777777" w:rsidR="00842B19" w:rsidRPr="004E3423" w:rsidRDefault="00842B19" w:rsidP="00214364">
            <w:pPr>
              <w:pStyle w:val="NormalWeb"/>
              <w:spacing w:before="0" w:beforeAutospacing="0" w:after="0" w:afterAutospacing="0" w:line="360" w:lineRule="auto"/>
              <w:rPr>
                <w:sz w:val="20"/>
                <w:szCs w:val="20"/>
              </w:rPr>
            </w:pPr>
            <w:r>
              <w:rPr>
                <w:sz w:val="20"/>
                <w:szCs w:val="20"/>
              </w:rPr>
              <w:t>Щоденн</w:t>
            </w:r>
            <w:r w:rsidRPr="004E3423">
              <w:rPr>
                <w:sz w:val="20"/>
                <w:szCs w:val="20"/>
              </w:rPr>
              <w:t>о</w:t>
            </w:r>
          </w:p>
        </w:tc>
        <w:tc>
          <w:tcPr>
            <w:tcW w:w="1740" w:type="dxa"/>
          </w:tcPr>
          <w:p w14:paraId="25EAA115" w14:textId="77777777" w:rsidR="00842B19" w:rsidRPr="002F2AF5" w:rsidRDefault="00842B19" w:rsidP="00214364">
            <w:pPr>
              <w:pStyle w:val="NormalWeb"/>
              <w:spacing w:before="0" w:beforeAutospacing="0" w:after="0" w:afterAutospacing="0"/>
              <w:jc w:val="center"/>
              <w:rPr>
                <w:sz w:val="20"/>
                <w:szCs w:val="20"/>
              </w:rPr>
            </w:pPr>
            <w:r w:rsidRPr="002F2AF5">
              <w:rPr>
                <w:sz w:val="20"/>
                <w:szCs w:val="20"/>
              </w:rPr>
              <w:t>Еколог</w:t>
            </w:r>
            <w:r w:rsidRPr="002F2AF5">
              <w:rPr>
                <w:sz w:val="20"/>
                <w:szCs w:val="20"/>
              </w:rPr>
              <w:br/>
              <w:t>підприємства</w:t>
            </w:r>
            <w:r w:rsidRPr="002F2AF5">
              <w:rPr>
                <w:sz w:val="20"/>
                <w:szCs w:val="20"/>
              </w:rPr>
              <w:br/>
              <w:t>або особа,</w:t>
            </w:r>
            <w:r w:rsidRPr="002F2AF5">
              <w:rPr>
                <w:sz w:val="20"/>
                <w:szCs w:val="20"/>
              </w:rPr>
              <w:br/>
              <w:t>призначена</w:t>
            </w:r>
            <w:r w:rsidRPr="002F2AF5">
              <w:rPr>
                <w:sz w:val="20"/>
                <w:szCs w:val="20"/>
              </w:rPr>
              <w:br/>
              <w:t>відповідальною</w:t>
            </w:r>
            <w:r w:rsidRPr="002F2AF5">
              <w:rPr>
                <w:sz w:val="20"/>
                <w:szCs w:val="20"/>
              </w:rPr>
              <w:br/>
              <w:t>за ОНС</w:t>
            </w:r>
          </w:p>
        </w:tc>
        <w:tc>
          <w:tcPr>
            <w:tcW w:w="1803" w:type="dxa"/>
          </w:tcPr>
          <w:p w14:paraId="353274E7" w14:textId="77777777" w:rsidR="00842B19" w:rsidRPr="004E3423" w:rsidRDefault="00842B19" w:rsidP="00214364">
            <w:pPr>
              <w:pStyle w:val="NormalWeb"/>
              <w:shd w:val="clear" w:color="auto" w:fill="FFFFFF"/>
              <w:spacing w:before="0" w:beforeAutospacing="0" w:after="0" w:afterAutospacing="0"/>
              <w:jc w:val="center"/>
              <w:rPr>
                <w:sz w:val="20"/>
                <w:szCs w:val="20"/>
              </w:rPr>
            </w:pPr>
            <w:r w:rsidRPr="004E3423">
              <w:rPr>
                <w:sz w:val="20"/>
                <w:szCs w:val="20"/>
              </w:rPr>
              <w:t>Відсутність порушень меж будівельних майданчиків та не потрапляння будівельної техніки і сміття на прилеглі території з природними комплексами</w:t>
            </w:r>
          </w:p>
          <w:p w14:paraId="6BBB8653" w14:textId="77777777" w:rsidR="00842B19" w:rsidRPr="004E3423" w:rsidRDefault="00842B19" w:rsidP="00214364">
            <w:pPr>
              <w:pStyle w:val="NormalWeb"/>
              <w:spacing w:before="0" w:beforeAutospacing="0" w:after="0" w:afterAutospacing="0" w:line="360" w:lineRule="auto"/>
              <w:jc w:val="center"/>
              <w:rPr>
                <w:sz w:val="20"/>
                <w:szCs w:val="20"/>
              </w:rPr>
            </w:pPr>
          </w:p>
        </w:tc>
      </w:tr>
    </w:tbl>
    <w:p w14:paraId="3B33C577" w14:textId="77777777" w:rsidR="00F05050" w:rsidRDefault="00F05050" w:rsidP="00F05050">
      <w:pPr>
        <w:pStyle w:val="NormalWeb"/>
        <w:spacing w:before="0" w:beforeAutospacing="0" w:after="0" w:afterAutospacing="0" w:line="360" w:lineRule="auto"/>
        <w:jc w:val="both"/>
        <w:rPr>
          <w:sz w:val="28"/>
          <w:szCs w:val="28"/>
          <w:lang w:val="uk-UA"/>
        </w:rPr>
      </w:pPr>
    </w:p>
    <w:p w14:paraId="4C2B3C66" w14:textId="77777777" w:rsidR="002B1981" w:rsidRDefault="002B1981" w:rsidP="002B1981">
      <w:pPr>
        <w:pStyle w:val="ListParagraph"/>
        <w:spacing w:line="360" w:lineRule="auto"/>
        <w:ind w:left="0" w:firstLine="851"/>
        <w:jc w:val="both"/>
        <w:rPr>
          <w:rFonts w:ascii="Times New Roman" w:hAnsi="Times New Roman"/>
          <w:sz w:val="28"/>
          <w:szCs w:val="28"/>
          <w:lang w:val="uk-UA"/>
        </w:rPr>
      </w:pPr>
      <w:r w:rsidRPr="006F0B0E">
        <w:rPr>
          <w:rFonts w:ascii="Times New Roman" w:hAnsi="Times New Roman"/>
          <w:sz w:val="28"/>
          <w:szCs w:val="28"/>
          <w:lang w:val="uk-UA"/>
        </w:rPr>
        <w:t xml:space="preserve">Здійснення моніторингу впливів на довкілля щодо реалізації пропозицій документу державного планування, у тому числі на здоров’я населення, за запропонованими показниками із введенням щорічної звітності, дасть можливість своєчасно виявляти порушення і недоліки, відхилення від нормативних показників та своєчасно опрацьовувати заходи та терміни по їх усуненню, складати звіти та інформувати мешканців </w:t>
      </w:r>
      <w:r w:rsidR="0029133D">
        <w:rPr>
          <w:rFonts w:ascii="Times New Roman" w:hAnsi="Times New Roman"/>
          <w:sz w:val="28"/>
          <w:szCs w:val="28"/>
          <w:lang w:val="uk-UA"/>
        </w:rPr>
        <w:t>громади</w:t>
      </w:r>
      <w:r w:rsidRPr="006F0B0E">
        <w:rPr>
          <w:rFonts w:ascii="Times New Roman" w:hAnsi="Times New Roman"/>
          <w:sz w:val="28"/>
          <w:szCs w:val="28"/>
          <w:lang w:val="uk-UA"/>
        </w:rPr>
        <w:t xml:space="preserve"> про стан реалізації містобудівної документації.</w:t>
      </w:r>
    </w:p>
    <w:p w14:paraId="31B8EA8D" w14:textId="77777777" w:rsidR="002B1981" w:rsidRDefault="002B1981" w:rsidP="002B1981">
      <w:pPr>
        <w:pStyle w:val="NormalWeb"/>
        <w:spacing w:before="0" w:beforeAutospacing="0" w:after="0" w:afterAutospacing="0" w:line="360" w:lineRule="auto"/>
        <w:jc w:val="both"/>
        <w:rPr>
          <w:sz w:val="28"/>
          <w:szCs w:val="28"/>
          <w:lang w:val="uk-UA"/>
        </w:rPr>
      </w:pPr>
    </w:p>
    <w:p w14:paraId="1E0AE05E" w14:textId="77777777" w:rsidR="00DB6EA3" w:rsidRPr="00DB6EA3" w:rsidRDefault="00DB6EA3" w:rsidP="00DB6EA3">
      <w:pPr>
        <w:pStyle w:val="NormalWeb"/>
        <w:spacing w:line="360" w:lineRule="auto"/>
        <w:rPr>
          <w:sz w:val="28"/>
          <w:szCs w:val="28"/>
          <w:lang w:val="uk-UA"/>
        </w:rPr>
      </w:pPr>
    </w:p>
    <w:p w14:paraId="224E3205" w14:textId="77777777" w:rsidR="00DB6EA3" w:rsidRPr="00DB6EA3" w:rsidRDefault="00DB6EA3" w:rsidP="00DB6EA3">
      <w:pPr>
        <w:pStyle w:val="NormalWeb"/>
        <w:spacing w:line="360" w:lineRule="auto"/>
        <w:rPr>
          <w:sz w:val="28"/>
          <w:szCs w:val="28"/>
        </w:rPr>
      </w:pPr>
    </w:p>
    <w:p w14:paraId="2CE1A250" w14:textId="77777777" w:rsidR="00DB6EA3" w:rsidRPr="00DB6EA3" w:rsidRDefault="00DB6EA3" w:rsidP="00DB6EA3">
      <w:pPr>
        <w:spacing w:line="360" w:lineRule="auto"/>
        <w:jc w:val="both"/>
        <w:rPr>
          <w:rFonts w:ascii="Times New Roman" w:hAnsi="Times New Roman" w:cs="Times New Roman"/>
          <w:sz w:val="28"/>
          <w:szCs w:val="28"/>
        </w:rPr>
      </w:pPr>
    </w:p>
    <w:sectPr w:rsidR="00DB6EA3" w:rsidRPr="00DB6EA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6EA3"/>
    <w:rsid w:val="000A1C21"/>
    <w:rsid w:val="0029133D"/>
    <w:rsid w:val="002B1981"/>
    <w:rsid w:val="00523C3D"/>
    <w:rsid w:val="00800B77"/>
    <w:rsid w:val="00842B19"/>
    <w:rsid w:val="008B2A70"/>
    <w:rsid w:val="00AC662B"/>
    <w:rsid w:val="00C05032"/>
    <w:rsid w:val="00DB6EA3"/>
    <w:rsid w:val="00F05050"/>
    <w:rsid w:val="00FC1ED0"/>
  </w:rsids>
  <m:mathPr>
    <m:mathFont m:val="Cambria Math"/>
    <m:brkBin m:val="before"/>
    <m:brkBinSub m:val="--"/>
    <m:smallFrac m:val="0"/>
    <m:dispDef/>
    <m:lMargin m:val="0"/>
    <m:rMargin m:val="0"/>
    <m:defJc m:val="centerGroup"/>
    <m:wrapIndent m:val="1440"/>
    <m:intLim m:val="subSup"/>
    <m:naryLim m:val="undOvr"/>
  </m:mathPr>
  <w:themeFontLang w:val="en-UA"/>
  <w:clrSchemeMapping w:bg1="light1" w:t1="dark1" w:bg2="light2" w:t2="dark2" w:accent1="accent1" w:accent2="accent2" w:accent3="accent3" w:accent4="accent4" w:accent5="accent5" w:accent6="accent6" w:hyperlink="hyperlink" w:followedHyperlink="followedHyperlink"/>
  <w:decimalSymbol w:val=","/>
  <w:listSeparator w:val=","/>
  <w14:docId w14:val="7F41E3A6"/>
  <w15:chartTrackingRefBased/>
  <w15:docId w15:val="{F8CE65A0-A360-6540-ACDD-20E9B3DA0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uk-U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DB6EA3"/>
    <w:pPr>
      <w:spacing w:before="100" w:beforeAutospacing="1" w:after="100" w:afterAutospacing="1"/>
    </w:pPr>
    <w:rPr>
      <w:rFonts w:ascii="Times New Roman" w:eastAsia="Times New Roman" w:hAnsi="Times New Roman" w:cs="Times New Roman"/>
      <w:lang w:val="en-UA"/>
    </w:rPr>
  </w:style>
  <w:style w:type="table" w:styleId="TableGrid">
    <w:name w:val="Table Grid"/>
    <w:basedOn w:val="TableNormal"/>
    <w:uiPriority w:val="39"/>
    <w:rsid w:val="00DB6E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B1981"/>
    <w:pPr>
      <w:ind w:left="720"/>
      <w:contextualSpacing/>
    </w:pPr>
    <w:rPr>
      <w:rFonts w:ascii="Calibri" w:eastAsia="Calibri" w:hAnsi="Calibri" w:cs="Times New Roman"/>
      <w:sz w:val="22"/>
      <w:szCs w:val="22"/>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770885">
      <w:bodyDiv w:val="1"/>
      <w:marLeft w:val="0"/>
      <w:marRight w:val="0"/>
      <w:marTop w:val="0"/>
      <w:marBottom w:val="0"/>
      <w:divBdr>
        <w:top w:val="none" w:sz="0" w:space="0" w:color="auto"/>
        <w:left w:val="none" w:sz="0" w:space="0" w:color="auto"/>
        <w:bottom w:val="none" w:sz="0" w:space="0" w:color="auto"/>
        <w:right w:val="none" w:sz="0" w:space="0" w:color="auto"/>
      </w:divBdr>
      <w:divsChild>
        <w:div w:id="1141579718">
          <w:marLeft w:val="0"/>
          <w:marRight w:val="0"/>
          <w:marTop w:val="0"/>
          <w:marBottom w:val="0"/>
          <w:divBdr>
            <w:top w:val="none" w:sz="0" w:space="0" w:color="auto"/>
            <w:left w:val="none" w:sz="0" w:space="0" w:color="auto"/>
            <w:bottom w:val="none" w:sz="0" w:space="0" w:color="auto"/>
            <w:right w:val="none" w:sz="0" w:space="0" w:color="auto"/>
          </w:divBdr>
          <w:divsChild>
            <w:div w:id="930695538">
              <w:marLeft w:val="0"/>
              <w:marRight w:val="0"/>
              <w:marTop w:val="0"/>
              <w:marBottom w:val="0"/>
              <w:divBdr>
                <w:top w:val="none" w:sz="0" w:space="0" w:color="auto"/>
                <w:left w:val="none" w:sz="0" w:space="0" w:color="auto"/>
                <w:bottom w:val="none" w:sz="0" w:space="0" w:color="auto"/>
                <w:right w:val="none" w:sz="0" w:space="0" w:color="auto"/>
              </w:divBdr>
              <w:divsChild>
                <w:div w:id="918439148">
                  <w:marLeft w:val="0"/>
                  <w:marRight w:val="0"/>
                  <w:marTop w:val="0"/>
                  <w:marBottom w:val="0"/>
                  <w:divBdr>
                    <w:top w:val="none" w:sz="0" w:space="0" w:color="auto"/>
                    <w:left w:val="none" w:sz="0" w:space="0" w:color="auto"/>
                    <w:bottom w:val="none" w:sz="0" w:space="0" w:color="auto"/>
                    <w:right w:val="none" w:sz="0" w:space="0" w:color="auto"/>
                  </w:divBdr>
                  <w:divsChild>
                    <w:div w:id="43517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0220336">
      <w:bodyDiv w:val="1"/>
      <w:marLeft w:val="0"/>
      <w:marRight w:val="0"/>
      <w:marTop w:val="0"/>
      <w:marBottom w:val="0"/>
      <w:divBdr>
        <w:top w:val="none" w:sz="0" w:space="0" w:color="auto"/>
        <w:left w:val="none" w:sz="0" w:space="0" w:color="auto"/>
        <w:bottom w:val="none" w:sz="0" w:space="0" w:color="auto"/>
        <w:right w:val="none" w:sz="0" w:space="0" w:color="auto"/>
      </w:divBdr>
      <w:divsChild>
        <w:div w:id="529076142">
          <w:marLeft w:val="0"/>
          <w:marRight w:val="0"/>
          <w:marTop w:val="0"/>
          <w:marBottom w:val="0"/>
          <w:divBdr>
            <w:top w:val="none" w:sz="0" w:space="0" w:color="auto"/>
            <w:left w:val="none" w:sz="0" w:space="0" w:color="auto"/>
            <w:bottom w:val="none" w:sz="0" w:space="0" w:color="auto"/>
            <w:right w:val="none" w:sz="0" w:space="0" w:color="auto"/>
          </w:divBdr>
          <w:divsChild>
            <w:div w:id="1368489977">
              <w:marLeft w:val="0"/>
              <w:marRight w:val="0"/>
              <w:marTop w:val="0"/>
              <w:marBottom w:val="0"/>
              <w:divBdr>
                <w:top w:val="none" w:sz="0" w:space="0" w:color="auto"/>
                <w:left w:val="none" w:sz="0" w:space="0" w:color="auto"/>
                <w:bottom w:val="none" w:sz="0" w:space="0" w:color="auto"/>
                <w:right w:val="none" w:sz="0" w:space="0" w:color="auto"/>
              </w:divBdr>
              <w:divsChild>
                <w:div w:id="790710483">
                  <w:marLeft w:val="0"/>
                  <w:marRight w:val="0"/>
                  <w:marTop w:val="0"/>
                  <w:marBottom w:val="0"/>
                  <w:divBdr>
                    <w:top w:val="none" w:sz="0" w:space="0" w:color="auto"/>
                    <w:left w:val="none" w:sz="0" w:space="0" w:color="auto"/>
                    <w:bottom w:val="none" w:sz="0" w:space="0" w:color="auto"/>
                    <w:right w:val="none" w:sz="0" w:space="0" w:color="auto"/>
                  </w:divBdr>
                  <w:divsChild>
                    <w:div w:id="128203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305315">
      <w:bodyDiv w:val="1"/>
      <w:marLeft w:val="0"/>
      <w:marRight w:val="0"/>
      <w:marTop w:val="0"/>
      <w:marBottom w:val="0"/>
      <w:divBdr>
        <w:top w:val="none" w:sz="0" w:space="0" w:color="auto"/>
        <w:left w:val="none" w:sz="0" w:space="0" w:color="auto"/>
        <w:bottom w:val="none" w:sz="0" w:space="0" w:color="auto"/>
        <w:right w:val="none" w:sz="0" w:space="0" w:color="auto"/>
      </w:divBdr>
      <w:divsChild>
        <w:div w:id="940919633">
          <w:marLeft w:val="0"/>
          <w:marRight w:val="0"/>
          <w:marTop w:val="0"/>
          <w:marBottom w:val="0"/>
          <w:divBdr>
            <w:top w:val="none" w:sz="0" w:space="0" w:color="auto"/>
            <w:left w:val="none" w:sz="0" w:space="0" w:color="auto"/>
            <w:bottom w:val="none" w:sz="0" w:space="0" w:color="auto"/>
            <w:right w:val="none" w:sz="0" w:space="0" w:color="auto"/>
          </w:divBdr>
          <w:divsChild>
            <w:div w:id="1998722554">
              <w:marLeft w:val="0"/>
              <w:marRight w:val="0"/>
              <w:marTop w:val="0"/>
              <w:marBottom w:val="0"/>
              <w:divBdr>
                <w:top w:val="none" w:sz="0" w:space="0" w:color="auto"/>
                <w:left w:val="none" w:sz="0" w:space="0" w:color="auto"/>
                <w:bottom w:val="none" w:sz="0" w:space="0" w:color="auto"/>
                <w:right w:val="none" w:sz="0" w:space="0" w:color="auto"/>
              </w:divBdr>
              <w:divsChild>
                <w:div w:id="106121281">
                  <w:marLeft w:val="0"/>
                  <w:marRight w:val="0"/>
                  <w:marTop w:val="0"/>
                  <w:marBottom w:val="0"/>
                  <w:divBdr>
                    <w:top w:val="none" w:sz="0" w:space="0" w:color="auto"/>
                    <w:left w:val="none" w:sz="0" w:space="0" w:color="auto"/>
                    <w:bottom w:val="none" w:sz="0" w:space="0" w:color="auto"/>
                    <w:right w:val="none" w:sz="0" w:space="0" w:color="auto"/>
                  </w:divBdr>
                  <w:divsChild>
                    <w:div w:id="718096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54214283">
      <w:bodyDiv w:val="1"/>
      <w:marLeft w:val="0"/>
      <w:marRight w:val="0"/>
      <w:marTop w:val="0"/>
      <w:marBottom w:val="0"/>
      <w:divBdr>
        <w:top w:val="none" w:sz="0" w:space="0" w:color="auto"/>
        <w:left w:val="none" w:sz="0" w:space="0" w:color="auto"/>
        <w:bottom w:val="none" w:sz="0" w:space="0" w:color="auto"/>
        <w:right w:val="none" w:sz="0" w:space="0" w:color="auto"/>
      </w:divBdr>
      <w:divsChild>
        <w:div w:id="940332001">
          <w:marLeft w:val="0"/>
          <w:marRight w:val="0"/>
          <w:marTop w:val="0"/>
          <w:marBottom w:val="0"/>
          <w:divBdr>
            <w:top w:val="none" w:sz="0" w:space="0" w:color="auto"/>
            <w:left w:val="none" w:sz="0" w:space="0" w:color="auto"/>
            <w:bottom w:val="none" w:sz="0" w:space="0" w:color="auto"/>
            <w:right w:val="none" w:sz="0" w:space="0" w:color="auto"/>
          </w:divBdr>
          <w:divsChild>
            <w:div w:id="1007248382">
              <w:marLeft w:val="0"/>
              <w:marRight w:val="0"/>
              <w:marTop w:val="0"/>
              <w:marBottom w:val="0"/>
              <w:divBdr>
                <w:top w:val="none" w:sz="0" w:space="0" w:color="auto"/>
                <w:left w:val="none" w:sz="0" w:space="0" w:color="auto"/>
                <w:bottom w:val="none" w:sz="0" w:space="0" w:color="auto"/>
                <w:right w:val="none" w:sz="0" w:space="0" w:color="auto"/>
              </w:divBdr>
              <w:divsChild>
                <w:div w:id="362678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60136211">
      <w:bodyDiv w:val="1"/>
      <w:marLeft w:val="0"/>
      <w:marRight w:val="0"/>
      <w:marTop w:val="0"/>
      <w:marBottom w:val="0"/>
      <w:divBdr>
        <w:top w:val="none" w:sz="0" w:space="0" w:color="auto"/>
        <w:left w:val="none" w:sz="0" w:space="0" w:color="auto"/>
        <w:bottom w:val="none" w:sz="0" w:space="0" w:color="auto"/>
        <w:right w:val="none" w:sz="0" w:space="0" w:color="auto"/>
      </w:divBdr>
      <w:divsChild>
        <w:div w:id="2110856705">
          <w:marLeft w:val="0"/>
          <w:marRight w:val="0"/>
          <w:marTop w:val="0"/>
          <w:marBottom w:val="0"/>
          <w:divBdr>
            <w:top w:val="none" w:sz="0" w:space="0" w:color="auto"/>
            <w:left w:val="none" w:sz="0" w:space="0" w:color="auto"/>
            <w:bottom w:val="none" w:sz="0" w:space="0" w:color="auto"/>
            <w:right w:val="none" w:sz="0" w:space="0" w:color="auto"/>
          </w:divBdr>
          <w:divsChild>
            <w:div w:id="1820532021">
              <w:marLeft w:val="0"/>
              <w:marRight w:val="0"/>
              <w:marTop w:val="0"/>
              <w:marBottom w:val="0"/>
              <w:divBdr>
                <w:top w:val="none" w:sz="0" w:space="0" w:color="auto"/>
                <w:left w:val="none" w:sz="0" w:space="0" w:color="auto"/>
                <w:bottom w:val="none" w:sz="0" w:space="0" w:color="auto"/>
                <w:right w:val="none" w:sz="0" w:space="0" w:color="auto"/>
              </w:divBdr>
              <w:divsChild>
                <w:div w:id="1339386487">
                  <w:marLeft w:val="0"/>
                  <w:marRight w:val="0"/>
                  <w:marTop w:val="0"/>
                  <w:marBottom w:val="0"/>
                  <w:divBdr>
                    <w:top w:val="none" w:sz="0" w:space="0" w:color="auto"/>
                    <w:left w:val="none" w:sz="0" w:space="0" w:color="auto"/>
                    <w:bottom w:val="none" w:sz="0" w:space="0" w:color="auto"/>
                    <w:right w:val="none" w:sz="0" w:space="0" w:color="auto"/>
                  </w:divBdr>
                  <w:divsChild>
                    <w:div w:id="739866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55552704">
      <w:bodyDiv w:val="1"/>
      <w:marLeft w:val="0"/>
      <w:marRight w:val="0"/>
      <w:marTop w:val="0"/>
      <w:marBottom w:val="0"/>
      <w:divBdr>
        <w:top w:val="none" w:sz="0" w:space="0" w:color="auto"/>
        <w:left w:val="none" w:sz="0" w:space="0" w:color="auto"/>
        <w:bottom w:val="none" w:sz="0" w:space="0" w:color="auto"/>
        <w:right w:val="none" w:sz="0" w:space="0" w:color="auto"/>
      </w:divBdr>
      <w:divsChild>
        <w:div w:id="1987053085">
          <w:marLeft w:val="0"/>
          <w:marRight w:val="0"/>
          <w:marTop w:val="0"/>
          <w:marBottom w:val="0"/>
          <w:divBdr>
            <w:top w:val="none" w:sz="0" w:space="0" w:color="auto"/>
            <w:left w:val="none" w:sz="0" w:space="0" w:color="auto"/>
            <w:bottom w:val="none" w:sz="0" w:space="0" w:color="auto"/>
            <w:right w:val="none" w:sz="0" w:space="0" w:color="auto"/>
          </w:divBdr>
          <w:divsChild>
            <w:div w:id="914125638">
              <w:marLeft w:val="0"/>
              <w:marRight w:val="0"/>
              <w:marTop w:val="0"/>
              <w:marBottom w:val="0"/>
              <w:divBdr>
                <w:top w:val="none" w:sz="0" w:space="0" w:color="auto"/>
                <w:left w:val="none" w:sz="0" w:space="0" w:color="auto"/>
                <w:bottom w:val="none" w:sz="0" w:space="0" w:color="auto"/>
                <w:right w:val="none" w:sz="0" w:space="0" w:color="auto"/>
              </w:divBdr>
              <w:divsChild>
                <w:div w:id="1877506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023036">
      <w:bodyDiv w:val="1"/>
      <w:marLeft w:val="0"/>
      <w:marRight w:val="0"/>
      <w:marTop w:val="0"/>
      <w:marBottom w:val="0"/>
      <w:divBdr>
        <w:top w:val="none" w:sz="0" w:space="0" w:color="auto"/>
        <w:left w:val="none" w:sz="0" w:space="0" w:color="auto"/>
        <w:bottom w:val="none" w:sz="0" w:space="0" w:color="auto"/>
        <w:right w:val="none" w:sz="0" w:space="0" w:color="auto"/>
      </w:divBdr>
      <w:divsChild>
        <w:div w:id="872226706">
          <w:marLeft w:val="0"/>
          <w:marRight w:val="0"/>
          <w:marTop w:val="0"/>
          <w:marBottom w:val="0"/>
          <w:divBdr>
            <w:top w:val="none" w:sz="0" w:space="0" w:color="auto"/>
            <w:left w:val="none" w:sz="0" w:space="0" w:color="auto"/>
            <w:bottom w:val="none" w:sz="0" w:space="0" w:color="auto"/>
            <w:right w:val="none" w:sz="0" w:space="0" w:color="auto"/>
          </w:divBdr>
          <w:divsChild>
            <w:div w:id="66616000">
              <w:marLeft w:val="0"/>
              <w:marRight w:val="0"/>
              <w:marTop w:val="0"/>
              <w:marBottom w:val="0"/>
              <w:divBdr>
                <w:top w:val="none" w:sz="0" w:space="0" w:color="auto"/>
                <w:left w:val="none" w:sz="0" w:space="0" w:color="auto"/>
                <w:bottom w:val="none" w:sz="0" w:space="0" w:color="auto"/>
                <w:right w:val="none" w:sz="0" w:space="0" w:color="auto"/>
              </w:divBdr>
              <w:divsChild>
                <w:div w:id="1116411415">
                  <w:marLeft w:val="0"/>
                  <w:marRight w:val="0"/>
                  <w:marTop w:val="0"/>
                  <w:marBottom w:val="0"/>
                  <w:divBdr>
                    <w:top w:val="none" w:sz="0" w:space="0" w:color="auto"/>
                    <w:left w:val="none" w:sz="0" w:space="0" w:color="auto"/>
                    <w:bottom w:val="none" w:sz="0" w:space="0" w:color="auto"/>
                    <w:right w:val="none" w:sz="0" w:space="0" w:color="auto"/>
                  </w:divBdr>
                  <w:divsChild>
                    <w:div w:id="1621377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6302954">
      <w:bodyDiv w:val="1"/>
      <w:marLeft w:val="0"/>
      <w:marRight w:val="0"/>
      <w:marTop w:val="0"/>
      <w:marBottom w:val="0"/>
      <w:divBdr>
        <w:top w:val="none" w:sz="0" w:space="0" w:color="auto"/>
        <w:left w:val="none" w:sz="0" w:space="0" w:color="auto"/>
        <w:bottom w:val="none" w:sz="0" w:space="0" w:color="auto"/>
        <w:right w:val="none" w:sz="0" w:space="0" w:color="auto"/>
      </w:divBdr>
      <w:divsChild>
        <w:div w:id="519470497">
          <w:marLeft w:val="0"/>
          <w:marRight w:val="0"/>
          <w:marTop w:val="0"/>
          <w:marBottom w:val="0"/>
          <w:divBdr>
            <w:top w:val="none" w:sz="0" w:space="0" w:color="auto"/>
            <w:left w:val="none" w:sz="0" w:space="0" w:color="auto"/>
            <w:bottom w:val="none" w:sz="0" w:space="0" w:color="auto"/>
            <w:right w:val="none" w:sz="0" w:space="0" w:color="auto"/>
          </w:divBdr>
          <w:divsChild>
            <w:div w:id="921987964">
              <w:marLeft w:val="0"/>
              <w:marRight w:val="0"/>
              <w:marTop w:val="0"/>
              <w:marBottom w:val="0"/>
              <w:divBdr>
                <w:top w:val="none" w:sz="0" w:space="0" w:color="auto"/>
                <w:left w:val="none" w:sz="0" w:space="0" w:color="auto"/>
                <w:bottom w:val="none" w:sz="0" w:space="0" w:color="auto"/>
                <w:right w:val="none" w:sz="0" w:space="0" w:color="auto"/>
              </w:divBdr>
              <w:divsChild>
                <w:div w:id="684402392">
                  <w:marLeft w:val="0"/>
                  <w:marRight w:val="0"/>
                  <w:marTop w:val="0"/>
                  <w:marBottom w:val="0"/>
                  <w:divBdr>
                    <w:top w:val="none" w:sz="0" w:space="0" w:color="auto"/>
                    <w:left w:val="none" w:sz="0" w:space="0" w:color="auto"/>
                    <w:bottom w:val="none" w:sz="0" w:space="0" w:color="auto"/>
                    <w:right w:val="none" w:sz="0" w:space="0" w:color="auto"/>
                  </w:divBdr>
                  <w:divsChild>
                    <w:div w:id="1338727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0751427">
      <w:bodyDiv w:val="1"/>
      <w:marLeft w:val="0"/>
      <w:marRight w:val="0"/>
      <w:marTop w:val="0"/>
      <w:marBottom w:val="0"/>
      <w:divBdr>
        <w:top w:val="none" w:sz="0" w:space="0" w:color="auto"/>
        <w:left w:val="none" w:sz="0" w:space="0" w:color="auto"/>
        <w:bottom w:val="none" w:sz="0" w:space="0" w:color="auto"/>
        <w:right w:val="none" w:sz="0" w:space="0" w:color="auto"/>
      </w:divBdr>
      <w:divsChild>
        <w:div w:id="98259758">
          <w:marLeft w:val="0"/>
          <w:marRight w:val="0"/>
          <w:marTop w:val="0"/>
          <w:marBottom w:val="0"/>
          <w:divBdr>
            <w:top w:val="none" w:sz="0" w:space="0" w:color="auto"/>
            <w:left w:val="none" w:sz="0" w:space="0" w:color="auto"/>
            <w:bottom w:val="none" w:sz="0" w:space="0" w:color="auto"/>
            <w:right w:val="none" w:sz="0" w:space="0" w:color="auto"/>
          </w:divBdr>
          <w:divsChild>
            <w:div w:id="1743142680">
              <w:marLeft w:val="0"/>
              <w:marRight w:val="0"/>
              <w:marTop w:val="0"/>
              <w:marBottom w:val="0"/>
              <w:divBdr>
                <w:top w:val="none" w:sz="0" w:space="0" w:color="auto"/>
                <w:left w:val="none" w:sz="0" w:space="0" w:color="auto"/>
                <w:bottom w:val="none" w:sz="0" w:space="0" w:color="auto"/>
                <w:right w:val="none" w:sz="0" w:space="0" w:color="auto"/>
              </w:divBdr>
              <w:divsChild>
                <w:div w:id="250049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9942380">
      <w:bodyDiv w:val="1"/>
      <w:marLeft w:val="0"/>
      <w:marRight w:val="0"/>
      <w:marTop w:val="0"/>
      <w:marBottom w:val="0"/>
      <w:divBdr>
        <w:top w:val="none" w:sz="0" w:space="0" w:color="auto"/>
        <w:left w:val="none" w:sz="0" w:space="0" w:color="auto"/>
        <w:bottom w:val="none" w:sz="0" w:space="0" w:color="auto"/>
        <w:right w:val="none" w:sz="0" w:space="0" w:color="auto"/>
      </w:divBdr>
      <w:divsChild>
        <w:div w:id="252512735">
          <w:marLeft w:val="0"/>
          <w:marRight w:val="0"/>
          <w:marTop w:val="0"/>
          <w:marBottom w:val="0"/>
          <w:divBdr>
            <w:top w:val="none" w:sz="0" w:space="0" w:color="auto"/>
            <w:left w:val="none" w:sz="0" w:space="0" w:color="auto"/>
            <w:bottom w:val="none" w:sz="0" w:space="0" w:color="auto"/>
            <w:right w:val="none" w:sz="0" w:space="0" w:color="auto"/>
          </w:divBdr>
          <w:divsChild>
            <w:div w:id="593317954">
              <w:marLeft w:val="0"/>
              <w:marRight w:val="0"/>
              <w:marTop w:val="0"/>
              <w:marBottom w:val="0"/>
              <w:divBdr>
                <w:top w:val="none" w:sz="0" w:space="0" w:color="auto"/>
                <w:left w:val="none" w:sz="0" w:space="0" w:color="auto"/>
                <w:bottom w:val="none" w:sz="0" w:space="0" w:color="auto"/>
                <w:right w:val="none" w:sz="0" w:space="0" w:color="auto"/>
              </w:divBdr>
              <w:divsChild>
                <w:div w:id="1083262541">
                  <w:marLeft w:val="0"/>
                  <w:marRight w:val="0"/>
                  <w:marTop w:val="0"/>
                  <w:marBottom w:val="0"/>
                  <w:divBdr>
                    <w:top w:val="none" w:sz="0" w:space="0" w:color="auto"/>
                    <w:left w:val="none" w:sz="0" w:space="0" w:color="auto"/>
                    <w:bottom w:val="none" w:sz="0" w:space="0" w:color="auto"/>
                    <w:right w:val="none" w:sz="0" w:space="0" w:color="auto"/>
                  </w:divBdr>
                  <w:divsChild>
                    <w:div w:id="1604999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5511937">
      <w:bodyDiv w:val="1"/>
      <w:marLeft w:val="0"/>
      <w:marRight w:val="0"/>
      <w:marTop w:val="0"/>
      <w:marBottom w:val="0"/>
      <w:divBdr>
        <w:top w:val="none" w:sz="0" w:space="0" w:color="auto"/>
        <w:left w:val="none" w:sz="0" w:space="0" w:color="auto"/>
        <w:bottom w:val="none" w:sz="0" w:space="0" w:color="auto"/>
        <w:right w:val="none" w:sz="0" w:space="0" w:color="auto"/>
      </w:divBdr>
      <w:divsChild>
        <w:div w:id="1738672777">
          <w:marLeft w:val="0"/>
          <w:marRight w:val="0"/>
          <w:marTop w:val="0"/>
          <w:marBottom w:val="0"/>
          <w:divBdr>
            <w:top w:val="none" w:sz="0" w:space="0" w:color="auto"/>
            <w:left w:val="none" w:sz="0" w:space="0" w:color="auto"/>
            <w:bottom w:val="none" w:sz="0" w:space="0" w:color="auto"/>
            <w:right w:val="none" w:sz="0" w:space="0" w:color="auto"/>
          </w:divBdr>
          <w:divsChild>
            <w:div w:id="143283842">
              <w:marLeft w:val="0"/>
              <w:marRight w:val="0"/>
              <w:marTop w:val="0"/>
              <w:marBottom w:val="0"/>
              <w:divBdr>
                <w:top w:val="none" w:sz="0" w:space="0" w:color="auto"/>
                <w:left w:val="none" w:sz="0" w:space="0" w:color="auto"/>
                <w:bottom w:val="none" w:sz="0" w:space="0" w:color="auto"/>
                <w:right w:val="none" w:sz="0" w:space="0" w:color="auto"/>
              </w:divBdr>
              <w:divsChild>
                <w:div w:id="1253969120">
                  <w:marLeft w:val="0"/>
                  <w:marRight w:val="0"/>
                  <w:marTop w:val="0"/>
                  <w:marBottom w:val="0"/>
                  <w:divBdr>
                    <w:top w:val="none" w:sz="0" w:space="0" w:color="auto"/>
                    <w:left w:val="none" w:sz="0" w:space="0" w:color="auto"/>
                    <w:bottom w:val="none" w:sz="0" w:space="0" w:color="auto"/>
                    <w:right w:val="none" w:sz="0" w:space="0" w:color="auto"/>
                  </w:divBdr>
                  <w:divsChild>
                    <w:div w:id="364447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6463632">
      <w:bodyDiv w:val="1"/>
      <w:marLeft w:val="0"/>
      <w:marRight w:val="0"/>
      <w:marTop w:val="0"/>
      <w:marBottom w:val="0"/>
      <w:divBdr>
        <w:top w:val="none" w:sz="0" w:space="0" w:color="auto"/>
        <w:left w:val="none" w:sz="0" w:space="0" w:color="auto"/>
        <w:bottom w:val="none" w:sz="0" w:space="0" w:color="auto"/>
        <w:right w:val="none" w:sz="0" w:space="0" w:color="auto"/>
      </w:divBdr>
      <w:divsChild>
        <w:div w:id="956179594">
          <w:marLeft w:val="0"/>
          <w:marRight w:val="0"/>
          <w:marTop w:val="0"/>
          <w:marBottom w:val="0"/>
          <w:divBdr>
            <w:top w:val="none" w:sz="0" w:space="0" w:color="auto"/>
            <w:left w:val="none" w:sz="0" w:space="0" w:color="auto"/>
            <w:bottom w:val="none" w:sz="0" w:space="0" w:color="auto"/>
            <w:right w:val="none" w:sz="0" w:space="0" w:color="auto"/>
          </w:divBdr>
          <w:divsChild>
            <w:div w:id="1014769541">
              <w:marLeft w:val="0"/>
              <w:marRight w:val="0"/>
              <w:marTop w:val="0"/>
              <w:marBottom w:val="0"/>
              <w:divBdr>
                <w:top w:val="none" w:sz="0" w:space="0" w:color="auto"/>
                <w:left w:val="none" w:sz="0" w:space="0" w:color="auto"/>
                <w:bottom w:val="none" w:sz="0" w:space="0" w:color="auto"/>
                <w:right w:val="none" w:sz="0" w:space="0" w:color="auto"/>
              </w:divBdr>
              <w:divsChild>
                <w:div w:id="2064253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2573024">
      <w:bodyDiv w:val="1"/>
      <w:marLeft w:val="0"/>
      <w:marRight w:val="0"/>
      <w:marTop w:val="0"/>
      <w:marBottom w:val="0"/>
      <w:divBdr>
        <w:top w:val="none" w:sz="0" w:space="0" w:color="auto"/>
        <w:left w:val="none" w:sz="0" w:space="0" w:color="auto"/>
        <w:bottom w:val="none" w:sz="0" w:space="0" w:color="auto"/>
        <w:right w:val="none" w:sz="0" w:space="0" w:color="auto"/>
      </w:divBdr>
      <w:divsChild>
        <w:div w:id="2085255648">
          <w:marLeft w:val="0"/>
          <w:marRight w:val="0"/>
          <w:marTop w:val="0"/>
          <w:marBottom w:val="0"/>
          <w:divBdr>
            <w:top w:val="none" w:sz="0" w:space="0" w:color="auto"/>
            <w:left w:val="none" w:sz="0" w:space="0" w:color="auto"/>
            <w:bottom w:val="none" w:sz="0" w:space="0" w:color="auto"/>
            <w:right w:val="none" w:sz="0" w:space="0" w:color="auto"/>
          </w:divBdr>
          <w:divsChild>
            <w:div w:id="1229653836">
              <w:marLeft w:val="0"/>
              <w:marRight w:val="0"/>
              <w:marTop w:val="0"/>
              <w:marBottom w:val="0"/>
              <w:divBdr>
                <w:top w:val="none" w:sz="0" w:space="0" w:color="auto"/>
                <w:left w:val="none" w:sz="0" w:space="0" w:color="auto"/>
                <w:bottom w:val="none" w:sz="0" w:space="0" w:color="auto"/>
                <w:right w:val="none" w:sz="0" w:space="0" w:color="auto"/>
              </w:divBdr>
              <w:divsChild>
                <w:div w:id="814495349">
                  <w:marLeft w:val="0"/>
                  <w:marRight w:val="0"/>
                  <w:marTop w:val="0"/>
                  <w:marBottom w:val="0"/>
                  <w:divBdr>
                    <w:top w:val="none" w:sz="0" w:space="0" w:color="auto"/>
                    <w:left w:val="none" w:sz="0" w:space="0" w:color="auto"/>
                    <w:bottom w:val="none" w:sz="0" w:space="0" w:color="auto"/>
                    <w:right w:val="none" w:sz="0" w:space="0" w:color="auto"/>
                  </w:divBdr>
                  <w:divsChild>
                    <w:div w:id="1124690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6459293">
      <w:bodyDiv w:val="1"/>
      <w:marLeft w:val="0"/>
      <w:marRight w:val="0"/>
      <w:marTop w:val="0"/>
      <w:marBottom w:val="0"/>
      <w:divBdr>
        <w:top w:val="none" w:sz="0" w:space="0" w:color="auto"/>
        <w:left w:val="none" w:sz="0" w:space="0" w:color="auto"/>
        <w:bottom w:val="none" w:sz="0" w:space="0" w:color="auto"/>
        <w:right w:val="none" w:sz="0" w:space="0" w:color="auto"/>
      </w:divBdr>
      <w:divsChild>
        <w:div w:id="2043704634">
          <w:marLeft w:val="0"/>
          <w:marRight w:val="0"/>
          <w:marTop w:val="0"/>
          <w:marBottom w:val="0"/>
          <w:divBdr>
            <w:top w:val="none" w:sz="0" w:space="0" w:color="auto"/>
            <w:left w:val="none" w:sz="0" w:space="0" w:color="auto"/>
            <w:bottom w:val="none" w:sz="0" w:space="0" w:color="auto"/>
            <w:right w:val="none" w:sz="0" w:space="0" w:color="auto"/>
          </w:divBdr>
          <w:divsChild>
            <w:div w:id="578907046">
              <w:marLeft w:val="0"/>
              <w:marRight w:val="0"/>
              <w:marTop w:val="0"/>
              <w:marBottom w:val="0"/>
              <w:divBdr>
                <w:top w:val="none" w:sz="0" w:space="0" w:color="auto"/>
                <w:left w:val="none" w:sz="0" w:space="0" w:color="auto"/>
                <w:bottom w:val="none" w:sz="0" w:space="0" w:color="auto"/>
                <w:right w:val="none" w:sz="0" w:space="0" w:color="auto"/>
              </w:divBdr>
              <w:divsChild>
                <w:div w:id="1560484119">
                  <w:marLeft w:val="0"/>
                  <w:marRight w:val="0"/>
                  <w:marTop w:val="0"/>
                  <w:marBottom w:val="0"/>
                  <w:divBdr>
                    <w:top w:val="none" w:sz="0" w:space="0" w:color="auto"/>
                    <w:left w:val="none" w:sz="0" w:space="0" w:color="auto"/>
                    <w:bottom w:val="none" w:sz="0" w:space="0" w:color="auto"/>
                    <w:right w:val="none" w:sz="0" w:space="0" w:color="auto"/>
                  </w:divBdr>
                  <w:divsChild>
                    <w:div w:id="237179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99677934">
      <w:bodyDiv w:val="1"/>
      <w:marLeft w:val="0"/>
      <w:marRight w:val="0"/>
      <w:marTop w:val="0"/>
      <w:marBottom w:val="0"/>
      <w:divBdr>
        <w:top w:val="none" w:sz="0" w:space="0" w:color="auto"/>
        <w:left w:val="none" w:sz="0" w:space="0" w:color="auto"/>
        <w:bottom w:val="none" w:sz="0" w:space="0" w:color="auto"/>
        <w:right w:val="none" w:sz="0" w:space="0" w:color="auto"/>
      </w:divBdr>
      <w:divsChild>
        <w:div w:id="1155225375">
          <w:marLeft w:val="0"/>
          <w:marRight w:val="0"/>
          <w:marTop w:val="0"/>
          <w:marBottom w:val="0"/>
          <w:divBdr>
            <w:top w:val="none" w:sz="0" w:space="0" w:color="auto"/>
            <w:left w:val="none" w:sz="0" w:space="0" w:color="auto"/>
            <w:bottom w:val="none" w:sz="0" w:space="0" w:color="auto"/>
            <w:right w:val="none" w:sz="0" w:space="0" w:color="auto"/>
          </w:divBdr>
          <w:divsChild>
            <w:div w:id="1939874093">
              <w:marLeft w:val="0"/>
              <w:marRight w:val="0"/>
              <w:marTop w:val="0"/>
              <w:marBottom w:val="0"/>
              <w:divBdr>
                <w:top w:val="none" w:sz="0" w:space="0" w:color="auto"/>
                <w:left w:val="none" w:sz="0" w:space="0" w:color="auto"/>
                <w:bottom w:val="none" w:sz="0" w:space="0" w:color="auto"/>
                <w:right w:val="none" w:sz="0" w:space="0" w:color="auto"/>
              </w:divBdr>
              <w:divsChild>
                <w:div w:id="1777674136">
                  <w:marLeft w:val="0"/>
                  <w:marRight w:val="0"/>
                  <w:marTop w:val="0"/>
                  <w:marBottom w:val="0"/>
                  <w:divBdr>
                    <w:top w:val="none" w:sz="0" w:space="0" w:color="auto"/>
                    <w:left w:val="none" w:sz="0" w:space="0" w:color="auto"/>
                    <w:bottom w:val="none" w:sz="0" w:space="0" w:color="auto"/>
                    <w:right w:val="none" w:sz="0" w:space="0" w:color="auto"/>
                  </w:divBdr>
                  <w:divsChild>
                    <w:div w:id="1676766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6494108">
      <w:bodyDiv w:val="1"/>
      <w:marLeft w:val="0"/>
      <w:marRight w:val="0"/>
      <w:marTop w:val="0"/>
      <w:marBottom w:val="0"/>
      <w:divBdr>
        <w:top w:val="none" w:sz="0" w:space="0" w:color="auto"/>
        <w:left w:val="none" w:sz="0" w:space="0" w:color="auto"/>
        <w:bottom w:val="none" w:sz="0" w:space="0" w:color="auto"/>
        <w:right w:val="none" w:sz="0" w:space="0" w:color="auto"/>
      </w:divBdr>
      <w:divsChild>
        <w:div w:id="76369381">
          <w:marLeft w:val="0"/>
          <w:marRight w:val="0"/>
          <w:marTop w:val="0"/>
          <w:marBottom w:val="0"/>
          <w:divBdr>
            <w:top w:val="none" w:sz="0" w:space="0" w:color="auto"/>
            <w:left w:val="none" w:sz="0" w:space="0" w:color="auto"/>
            <w:bottom w:val="none" w:sz="0" w:space="0" w:color="auto"/>
            <w:right w:val="none" w:sz="0" w:space="0" w:color="auto"/>
          </w:divBdr>
          <w:divsChild>
            <w:div w:id="1885941103">
              <w:marLeft w:val="0"/>
              <w:marRight w:val="0"/>
              <w:marTop w:val="0"/>
              <w:marBottom w:val="0"/>
              <w:divBdr>
                <w:top w:val="none" w:sz="0" w:space="0" w:color="auto"/>
                <w:left w:val="none" w:sz="0" w:space="0" w:color="auto"/>
                <w:bottom w:val="none" w:sz="0" w:space="0" w:color="auto"/>
                <w:right w:val="none" w:sz="0" w:space="0" w:color="auto"/>
              </w:divBdr>
              <w:divsChild>
                <w:div w:id="2039694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66743877">
      <w:bodyDiv w:val="1"/>
      <w:marLeft w:val="0"/>
      <w:marRight w:val="0"/>
      <w:marTop w:val="0"/>
      <w:marBottom w:val="0"/>
      <w:divBdr>
        <w:top w:val="none" w:sz="0" w:space="0" w:color="auto"/>
        <w:left w:val="none" w:sz="0" w:space="0" w:color="auto"/>
        <w:bottom w:val="none" w:sz="0" w:space="0" w:color="auto"/>
        <w:right w:val="none" w:sz="0" w:space="0" w:color="auto"/>
      </w:divBdr>
      <w:divsChild>
        <w:div w:id="1906798035">
          <w:marLeft w:val="0"/>
          <w:marRight w:val="0"/>
          <w:marTop w:val="0"/>
          <w:marBottom w:val="0"/>
          <w:divBdr>
            <w:top w:val="none" w:sz="0" w:space="0" w:color="auto"/>
            <w:left w:val="none" w:sz="0" w:space="0" w:color="auto"/>
            <w:bottom w:val="none" w:sz="0" w:space="0" w:color="auto"/>
            <w:right w:val="none" w:sz="0" w:space="0" w:color="auto"/>
          </w:divBdr>
          <w:divsChild>
            <w:div w:id="953176172">
              <w:marLeft w:val="0"/>
              <w:marRight w:val="0"/>
              <w:marTop w:val="0"/>
              <w:marBottom w:val="0"/>
              <w:divBdr>
                <w:top w:val="none" w:sz="0" w:space="0" w:color="auto"/>
                <w:left w:val="none" w:sz="0" w:space="0" w:color="auto"/>
                <w:bottom w:val="none" w:sz="0" w:space="0" w:color="auto"/>
                <w:right w:val="none" w:sz="0" w:space="0" w:color="auto"/>
              </w:divBdr>
              <w:divsChild>
                <w:div w:id="1185945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7116375">
      <w:bodyDiv w:val="1"/>
      <w:marLeft w:val="0"/>
      <w:marRight w:val="0"/>
      <w:marTop w:val="0"/>
      <w:marBottom w:val="0"/>
      <w:divBdr>
        <w:top w:val="none" w:sz="0" w:space="0" w:color="auto"/>
        <w:left w:val="none" w:sz="0" w:space="0" w:color="auto"/>
        <w:bottom w:val="none" w:sz="0" w:space="0" w:color="auto"/>
        <w:right w:val="none" w:sz="0" w:space="0" w:color="auto"/>
      </w:divBdr>
      <w:divsChild>
        <w:div w:id="104350414">
          <w:marLeft w:val="0"/>
          <w:marRight w:val="0"/>
          <w:marTop w:val="0"/>
          <w:marBottom w:val="0"/>
          <w:divBdr>
            <w:top w:val="none" w:sz="0" w:space="0" w:color="auto"/>
            <w:left w:val="none" w:sz="0" w:space="0" w:color="auto"/>
            <w:bottom w:val="none" w:sz="0" w:space="0" w:color="auto"/>
            <w:right w:val="none" w:sz="0" w:space="0" w:color="auto"/>
          </w:divBdr>
          <w:divsChild>
            <w:div w:id="503056822">
              <w:marLeft w:val="0"/>
              <w:marRight w:val="0"/>
              <w:marTop w:val="0"/>
              <w:marBottom w:val="0"/>
              <w:divBdr>
                <w:top w:val="none" w:sz="0" w:space="0" w:color="auto"/>
                <w:left w:val="none" w:sz="0" w:space="0" w:color="auto"/>
                <w:bottom w:val="none" w:sz="0" w:space="0" w:color="auto"/>
                <w:right w:val="none" w:sz="0" w:space="0" w:color="auto"/>
              </w:divBdr>
              <w:divsChild>
                <w:div w:id="347101288">
                  <w:marLeft w:val="0"/>
                  <w:marRight w:val="0"/>
                  <w:marTop w:val="0"/>
                  <w:marBottom w:val="0"/>
                  <w:divBdr>
                    <w:top w:val="none" w:sz="0" w:space="0" w:color="auto"/>
                    <w:left w:val="none" w:sz="0" w:space="0" w:color="auto"/>
                    <w:bottom w:val="none" w:sz="0" w:space="0" w:color="auto"/>
                    <w:right w:val="none" w:sz="0" w:space="0" w:color="auto"/>
                  </w:divBdr>
                  <w:divsChild>
                    <w:div w:id="555549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1094</Words>
  <Characters>6237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dc:creator>
  <cp:keywords/>
  <dc:description/>
  <cp:lastModifiedBy>Liliia Pobran</cp:lastModifiedBy>
  <cp:revision>2</cp:revision>
  <dcterms:created xsi:type="dcterms:W3CDTF">2024-04-29T04:13:00Z</dcterms:created>
  <dcterms:modified xsi:type="dcterms:W3CDTF">2024-04-29T04:13:00Z</dcterms:modified>
</cp:coreProperties>
</file>