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0202" w14:textId="77777777" w:rsidR="005A175F" w:rsidRPr="00133A50" w:rsidRDefault="004846FC" w:rsidP="008772B5">
      <w:pPr>
        <w:pStyle w:val="Title"/>
        <w:tabs>
          <w:tab w:val="left" w:pos="6761"/>
        </w:tabs>
        <w:ind w:firstLine="0"/>
        <w:rPr>
          <w:szCs w:val="28"/>
        </w:rPr>
      </w:pPr>
      <w:r w:rsidRPr="00133A50">
        <w:rPr>
          <w:szCs w:val="28"/>
        </w:rPr>
        <w:t xml:space="preserve"> </w:t>
      </w:r>
    </w:p>
    <w:p w14:paraId="50790203" w14:textId="77777777" w:rsidR="00617D2A" w:rsidRPr="00133A50" w:rsidRDefault="00617D2A" w:rsidP="008772B5">
      <w:pPr>
        <w:pStyle w:val="Title"/>
        <w:tabs>
          <w:tab w:val="left" w:pos="6761"/>
        </w:tabs>
        <w:ind w:firstLine="0"/>
        <w:rPr>
          <w:szCs w:val="28"/>
        </w:rPr>
      </w:pPr>
    </w:p>
    <w:p w14:paraId="50790204" w14:textId="77777777" w:rsidR="005A175F" w:rsidRPr="00133A50" w:rsidRDefault="008772B5" w:rsidP="008772B5">
      <w:pPr>
        <w:pStyle w:val="Title"/>
        <w:tabs>
          <w:tab w:val="left" w:pos="6761"/>
        </w:tabs>
        <w:ind w:firstLine="0"/>
        <w:rPr>
          <w:szCs w:val="28"/>
        </w:rPr>
      </w:pPr>
      <w:r w:rsidRPr="00133A50">
        <w:rPr>
          <w:szCs w:val="28"/>
        </w:rPr>
        <w:t>ЗВІТ</w:t>
      </w:r>
    </w:p>
    <w:p w14:paraId="50790205" w14:textId="7C0BAA9C" w:rsidR="008772B5" w:rsidRPr="00133A50" w:rsidRDefault="008772B5" w:rsidP="008772B5">
      <w:pPr>
        <w:pStyle w:val="Title"/>
        <w:tabs>
          <w:tab w:val="left" w:pos="6761"/>
        </w:tabs>
        <w:ind w:firstLine="0"/>
        <w:rPr>
          <w:sz w:val="24"/>
          <w:szCs w:val="24"/>
        </w:rPr>
      </w:pPr>
      <w:r w:rsidRPr="00133A50">
        <w:rPr>
          <w:szCs w:val="28"/>
        </w:rPr>
        <w:t xml:space="preserve">про </w:t>
      </w:r>
      <w:r w:rsidR="00C52323" w:rsidRPr="00133A50">
        <w:rPr>
          <w:szCs w:val="28"/>
        </w:rPr>
        <w:t>повтор</w:t>
      </w:r>
      <w:r w:rsidR="00967CD3" w:rsidRPr="00133A50">
        <w:rPr>
          <w:szCs w:val="28"/>
        </w:rPr>
        <w:t xml:space="preserve">не </w:t>
      </w:r>
      <w:r w:rsidRPr="00133A50">
        <w:rPr>
          <w:szCs w:val="28"/>
        </w:rPr>
        <w:t>відстеження результативності регуляторного акт</w:t>
      </w:r>
      <w:r w:rsidR="003B2584">
        <w:rPr>
          <w:szCs w:val="28"/>
        </w:rPr>
        <w:t>у</w:t>
      </w:r>
      <w:r w:rsidRPr="00133A50">
        <w:rPr>
          <w:sz w:val="24"/>
          <w:szCs w:val="24"/>
        </w:rPr>
        <w:t xml:space="preserve"> –</w:t>
      </w:r>
    </w:p>
    <w:p w14:paraId="50790206" w14:textId="77777777" w:rsidR="006761AF" w:rsidRPr="00133A50" w:rsidRDefault="008772B5" w:rsidP="008772B5">
      <w:pPr>
        <w:jc w:val="center"/>
        <w:rPr>
          <w:sz w:val="28"/>
          <w:szCs w:val="28"/>
          <w:lang w:val="uk-UA"/>
        </w:rPr>
      </w:pPr>
      <w:r w:rsidRPr="00133A50">
        <w:rPr>
          <w:sz w:val="28"/>
          <w:szCs w:val="28"/>
          <w:lang w:val="uk-UA"/>
        </w:rPr>
        <w:t xml:space="preserve">рішення </w:t>
      </w:r>
      <w:r w:rsidR="00967CD3" w:rsidRPr="00133A50">
        <w:rPr>
          <w:sz w:val="28"/>
          <w:szCs w:val="28"/>
          <w:lang w:val="uk-UA"/>
        </w:rPr>
        <w:t xml:space="preserve">Чорноморської </w:t>
      </w:r>
      <w:r w:rsidR="004E72E0" w:rsidRPr="00133A50">
        <w:rPr>
          <w:sz w:val="28"/>
          <w:szCs w:val="28"/>
          <w:lang w:val="uk-UA"/>
        </w:rPr>
        <w:t xml:space="preserve">міської ради </w:t>
      </w:r>
      <w:r w:rsidR="00E96FEF" w:rsidRPr="00133A50">
        <w:rPr>
          <w:sz w:val="28"/>
          <w:szCs w:val="28"/>
          <w:lang w:val="uk-UA"/>
        </w:rPr>
        <w:t xml:space="preserve">Одеського району </w:t>
      </w:r>
      <w:r w:rsidR="006E4931" w:rsidRPr="00133A50">
        <w:rPr>
          <w:sz w:val="28"/>
          <w:szCs w:val="28"/>
          <w:lang w:val="uk-UA"/>
        </w:rPr>
        <w:t>Одеської області</w:t>
      </w:r>
    </w:p>
    <w:p w14:paraId="50790207" w14:textId="77777777" w:rsidR="008772B5" w:rsidRPr="00133A50" w:rsidRDefault="008772B5" w:rsidP="00C52323">
      <w:pPr>
        <w:jc w:val="center"/>
        <w:rPr>
          <w:sz w:val="28"/>
          <w:szCs w:val="28"/>
          <w:lang w:val="uk-UA"/>
        </w:rPr>
      </w:pPr>
      <w:r w:rsidRPr="00133A50">
        <w:rPr>
          <w:sz w:val="28"/>
          <w:szCs w:val="28"/>
          <w:lang w:val="uk-UA"/>
        </w:rPr>
        <w:t>«</w:t>
      </w:r>
      <w:r w:rsidR="00C52323" w:rsidRPr="00133A50">
        <w:rPr>
          <w:rFonts w:eastAsia="Courier New" w:cs="Courier New"/>
          <w:color w:val="000000"/>
          <w:sz w:val="28"/>
          <w:szCs w:val="28"/>
          <w:lang w:val="uk-UA" w:eastAsia="uk-UA" w:bidi="uk-UA"/>
        </w:rPr>
        <w:t>Про встановлення ставок  єдиного податку на території Чорноморської міської ради Одеського району Одеської області</w:t>
      </w:r>
      <w:r w:rsidR="00060BEC" w:rsidRPr="00133A50">
        <w:rPr>
          <w:sz w:val="28"/>
          <w:szCs w:val="28"/>
          <w:lang w:val="uk-UA"/>
        </w:rPr>
        <w:t>"</w:t>
      </w:r>
    </w:p>
    <w:p w14:paraId="50790208" w14:textId="77777777" w:rsidR="00617D2A" w:rsidRPr="00133A50" w:rsidRDefault="00617D2A" w:rsidP="00C52323">
      <w:pPr>
        <w:jc w:val="center"/>
        <w:rPr>
          <w:rFonts w:eastAsia="Courier New" w:cs="Courier New"/>
          <w:color w:val="000000"/>
          <w:lang w:val="uk-UA" w:eastAsia="uk-UA" w:bidi="uk-UA"/>
        </w:rPr>
      </w:pPr>
    </w:p>
    <w:p w14:paraId="50790209" w14:textId="77777777" w:rsidR="00BD1586" w:rsidRPr="00133A50" w:rsidRDefault="00BD1586" w:rsidP="00C52323">
      <w:pPr>
        <w:pStyle w:val="Title"/>
        <w:tabs>
          <w:tab w:val="left" w:pos="6761"/>
        </w:tabs>
        <w:ind w:firstLine="0"/>
        <w:rPr>
          <w:b w:val="0"/>
          <w:sz w:val="24"/>
          <w:szCs w:val="24"/>
        </w:rPr>
      </w:pPr>
    </w:p>
    <w:tbl>
      <w:tblPr>
        <w:tblStyle w:val="TableGrid"/>
        <w:tblW w:w="10316" w:type="dxa"/>
        <w:tblInd w:w="-601" w:type="dxa"/>
        <w:tblLook w:val="01E0" w:firstRow="1" w:lastRow="1" w:firstColumn="1" w:lastColumn="1" w:noHBand="0" w:noVBand="0"/>
      </w:tblPr>
      <w:tblGrid>
        <w:gridCol w:w="685"/>
        <w:gridCol w:w="4433"/>
        <w:gridCol w:w="382"/>
        <w:gridCol w:w="4816"/>
      </w:tblGrid>
      <w:tr w:rsidR="008772B5" w:rsidRPr="00133A50" w14:paraId="5079020E" w14:textId="77777777" w:rsidTr="00DB4E64">
        <w:trPr>
          <w:trHeight w:val="118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0A" w14:textId="77777777" w:rsidR="008772B5" w:rsidRPr="00133A50" w:rsidRDefault="008772B5" w:rsidP="00B145C2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0B" w14:textId="6BE33E81" w:rsidR="008772B5" w:rsidRPr="00133A50" w:rsidRDefault="008772B5" w:rsidP="003B2584">
            <w:pPr>
              <w:pStyle w:val="Title"/>
              <w:tabs>
                <w:tab w:val="left" w:pos="6761"/>
              </w:tabs>
              <w:ind w:firstLine="0"/>
              <w:jc w:val="left"/>
              <w:rPr>
                <w:sz w:val="24"/>
                <w:szCs w:val="24"/>
              </w:rPr>
            </w:pPr>
            <w:r w:rsidRPr="00133A50">
              <w:rPr>
                <w:sz w:val="24"/>
                <w:szCs w:val="24"/>
              </w:rPr>
              <w:t>Вид та назва регуляторного акт</w:t>
            </w:r>
            <w:r w:rsidR="003B2584">
              <w:rPr>
                <w:sz w:val="24"/>
                <w:szCs w:val="24"/>
              </w:rPr>
              <w:t>у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0C" w14:textId="77777777" w:rsidR="00297096" w:rsidRPr="00133A50" w:rsidRDefault="00967CD3" w:rsidP="00CE6257">
            <w:pPr>
              <w:rPr>
                <w:lang w:val="uk-UA"/>
              </w:rPr>
            </w:pPr>
            <w:r w:rsidRPr="00133A50">
              <w:rPr>
                <w:lang w:val="uk-UA"/>
              </w:rPr>
              <w:t>Р</w:t>
            </w:r>
            <w:r w:rsidR="004E72E0" w:rsidRPr="00133A50">
              <w:rPr>
                <w:lang w:val="uk-UA"/>
              </w:rPr>
              <w:t xml:space="preserve">ішення </w:t>
            </w:r>
            <w:r w:rsidRPr="00133A50">
              <w:rPr>
                <w:lang w:val="uk-UA"/>
              </w:rPr>
              <w:t xml:space="preserve">Чорноморської </w:t>
            </w:r>
            <w:r w:rsidR="004E72E0" w:rsidRPr="00133A50">
              <w:rPr>
                <w:lang w:val="uk-UA"/>
              </w:rPr>
              <w:t>міської ради</w:t>
            </w:r>
            <w:r w:rsidR="00373401" w:rsidRPr="00133A50">
              <w:rPr>
                <w:lang w:val="uk-UA"/>
              </w:rPr>
              <w:t xml:space="preserve"> </w:t>
            </w:r>
            <w:r w:rsidR="005A4AD5" w:rsidRPr="00133A50">
              <w:rPr>
                <w:lang w:val="uk-UA"/>
              </w:rPr>
              <w:t xml:space="preserve">Одеського району </w:t>
            </w:r>
            <w:r w:rsidR="00373401" w:rsidRPr="00133A50">
              <w:rPr>
                <w:lang w:val="uk-UA"/>
              </w:rPr>
              <w:t>Одеської області</w:t>
            </w:r>
            <w:r w:rsidR="005A4AD5" w:rsidRPr="00133A50">
              <w:rPr>
                <w:lang w:val="uk-UA"/>
              </w:rPr>
              <w:t xml:space="preserve"> від 18.06.2021р.                       № 74-VIII </w:t>
            </w:r>
            <w:r w:rsidR="004E72E0" w:rsidRPr="00133A50">
              <w:rPr>
                <w:lang w:val="uk-UA"/>
              </w:rPr>
              <w:t xml:space="preserve"> </w:t>
            </w:r>
            <w:r w:rsidR="00CE6257" w:rsidRPr="00133A50">
              <w:rPr>
                <w:lang w:val="uk-UA"/>
              </w:rPr>
              <w:t>«</w:t>
            </w:r>
            <w:r w:rsidR="00CE6257" w:rsidRPr="00133A50">
              <w:rPr>
                <w:rFonts w:eastAsia="Courier New" w:cs="Courier New"/>
                <w:color w:val="000000"/>
                <w:lang w:val="uk-UA" w:eastAsia="uk-UA" w:bidi="uk-UA"/>
              </w:rPr>
              <w:t>Про встановлення ставок  єдиного податку на території Чорноморської міської ради Одеського району Одеської області</w:t>
            </w:r>
            <w:r w:rsidR="00CE6257" w:rsidRPr="00133A50">
              <w:rPr>
                <w:lang w:val="uk-UA"/>
              </w:rPr>
              <w:t>"</w:t>
            </w:r>
          </w:p>
          <w:p w14:paraId="5079020D" w14:textId="77777777" w:rsidR="005A4AD5" w:rsidRPr="00133A50" w:rsidRDefault="005A4AD5" w:rsidP="00CE6257">
            <w:pPr>
              <w:rPr>
                <w:rFonts w:eastAsia="Courier New" w:cs="Courier New"/>
                <w:color w:val="000000"/>
                <w:lang w:val="uk-UA" w:eastAsia="uk-UA" w:bidi="uk-UA"/>
              </w:rPr>
            </w:pPr>
            <w:r w:rsidRPr="00133A50">
              <w:rPr>
                <w:lang w:val="uk-UA"/>
              </w:rPr>
              <w:t>(набрало чинності з 01 січня 2022 року)</w:t>
            </w:r>
          </w:p>
        </w:tc>
      </w:tr>
      <w:tr w:rsidR="008772B5" w:rsidRPr="00133A50" w14:paraId="50790212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0F" w14:textId="77777777" w:rsidR="008772B5" w:rsidRPr="00133A50" w:rsidRDefault="005A4AD5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2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0" w14:textId="77777777" w:rsidR="00782133" w:rsidRPr="00133A50" w:rsidRDefault="005A4AD5" w:rsidP="00297096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Назва виконавця заходів з</w:t>
            </w:r>
            <w:r w:rsidR="008772B5" w:rsidRPr="00133A50">
              <w:rPr>
                <w:b/>
                <w:lang w:val="uk-UA"/>
              </w:rPr>
              <w:t xml:space="preserve"> відстеження результативності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1" w14:textId="77777777" w:rsidR="008772B5" w:rsidRPr="00133A50" w:rsidRDefault="00290C3B" w:rsidP="00E37386">
            <w:pPr>
              <w:pStyle w:val="Title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Фінансове управління</w:t>
            </w:r>
            <w:r w:rsidR="00E37386" w:rsidRPr="00133A50">
              <w:rPr>
                <w:b w:val="0"/>
                <w:sz w:val="24"/>
                <w:szCs w:val="24"/>
              </w:rPr>
              <w:t xml:space="preserve"> Чорноморської </w:t>
            </w:r>
            <w:r w:rsidR="00371583" w:rsidRPr="00133A50">
              <w:rPr>
                <w:b w:val="0"/>
                <w:sz w:val="24"/>
                <w:szCs w:val="24"/>
              </w:rPr>
              <w:t>міської ради</w:t>
            </w:r>
            <w:r w:rsidR="00E56793" w:rsidRPr="00133A50">
              <w:rPr>
                <w:b w:val="0"/>
                <w:sz w:val="24"/>
                <w:szCs w:val="24"/>
              </w:rPr>
              <w:t xml:space="preserve"> </w:t>
            </w:r>
            <w:r w:rsidR="002C5021" w:rsidRPr="00133A50">
              <w:rPr>
                <w:b w:val="0"/>
                <w:sz w:val="24"/>
                <w:szCs w:val="24"/>
              </w:rPr>
              <w:t xml:space="preserve"> </w:t>
            </w:r>
            <w:r w:rsidR="00EA3713" w:rsidRPr="00133A50">
              <w:rPr>
                <w:b w:val="0"/>
                <w:sz w:val="24"/>
                <w:szCs w:val="24"/>
              </w:rPr>
              <w:t xml:space="preserve">Одеського району </w:t>
            </w:r>
            <w:r w:rsidR="00E56793" w:rsidRPr="00133A50">
              <w:rPr>
                <w:b w:val="0"/>
                <w:sz w:val="24"/>
                <w:szCs w:val="24"/>
              </w:rPr>
              <w:t>Одеської області</w:t>
            </w:r>
          </w:p>
        </w:tc>
      </w:tr>
      <w:tr w:rsidR="008772B5" w:rsidRPr="00133A50" w14:paraId="50790218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3" w14:textId="77777777" w:rsidR="008772B5" w:rsidRPr="00133A50" w:rsidRDefault="005A4AD5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3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4" w14:textId="3507E06E" w:rsidR="008772B5" w:rsidRPr="00133A50" w:rsidRDefault="008772B5" w:rsidP="003B2584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Цілі прийняття акт</w:t>
            </w:r>
            <w:r w:rsidR="003B2584">
              <w:rPr>
                <w:b/>
                <w:lang w:val="uk-UA"/>
              </w:rPr>
              <w:t>у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5" w14:textId="77777777" w:rsidR="00E72603" w:rsidRPr="00133A50" w:rsidRDefault="00E72603" w:rsidP="00E72603">
            <w:pPr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t>- встановлення місцевих податків та зборів, визначення їх обов’язкових елементів;</w:t>
            </w:r>
          </w:p>
          <w:p w14:paraId="50790216" w14:textId="77777777" w:rsidR="00E72603" w:rsidRPr="00133A50" w:rsidRDefault="00E72603" w:rsidP="00E72603">
            <w:pPr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t>- отримання фінансового ресурсу для вирішення соціально - економічних питань розвитку громади, підвищення соціальних стандартів.</w:t>
            </w:r>
          </w:p>
          <w:p w14:paraId="50790217" w14:textId="77777777" w:rsidR="00297096" w:rsidRPr="00133A50" w:rsidRDefault="00297096" w:rsidP="001F7834">
            <w:pPr>
              <w:ind w:left="-36"/>
              <w:jc w:val="both"/>
              <w:rPr>
                <w:lang w:val="uk-UA"/>
              </w:rPr>
            </w:pPr>
          </w:p>
        </w:tc>
      </w:tr>
      <w:tr w:rsidR="008772B5" w:rsidRPr="00133A50" w14:paraId="5079021D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9" w14:textId="77777777" w:rsidR="008772B5" w:rsidRPr="00133A50" w:rsidRDefault="002C5021" w:rsidP="002C5021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4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A" w14:textId="77777777" w:rsidR="008772B5" w:rsidRPr="00133A50" w:rsidRDefault="008772B5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 xml:space="preserve">Строк виконання заходів </w:t>
            </w:r>
            <w:r w:rsidR="00534C7F" w:rsidRPr="00133A50">
              <w:rPr>
                <w:b/>
                <w:lang w:val="uk-UA"/>
              </w:rPr>
              <w:t xml:space="preserve">                                  </w:t>
            </w:r>
            <w:r w:rsidRPr="00133A50">
              <w:rPr>
                <w:b/>
                <w:lang w:val="uk-UA"/>
              </w:rPr>
              <w:t>з відстеження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B" w14:textId="6E39EED6" w:rsidR="007B3EC1" w:rsidRPr="00133A50" w:rsidRDefault="00767074" w:rsidP="00BD0F02">
            <w:pPr>
              <w:tabs>
                <w:tab w:val="left" w:pos="6761"/>
              </w:tabs>
              <w:jc w:val="both"/>
              <w:rPr>
                <w:color w:val="000000"/>
                <w:lang w:val="uk-UA"/>
              </w:rPr>
            </w:pPr>
            <w:r w:rsidRPr="00133A50">
              <w:rPr>
                <w:color w:val="000000"/>
                <w:lang w:val="uk-UA"/>
              </w:rPr>
              <w:t>30 днів</w:t>
            </w:r>
            <w:r w:rsidR="00133A50" w:rsidRPr="00133A50">
              <w:rPr>
                <w:color w:val="000000"/>
                <w:lang w:val="uk-UA"/>
              </w:rPr>
              <w:t xml:space="preserve"> (01.12.2024 - 30.12.2024)</w:t>
            </w:r>
          </w:p>
          <w:p w14:paraId="5079021C" w14:textId="77777777" w:rsidR="00617D2A" w:rsidRPr="00133A50" w:rsidRDefault="00617D2A" w:rsidP="00BD0F02">
            <w:pPr>
              <w:tabs>
                <w:tab w:val="left" w:pos="6761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772B5" w:rsidRPr="00133A50" w14:paraId="50790222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E" w14:textId="77777777" w:rsidR="008772B5" w:rsidRPr="00133A50" w:rsidRDefault="008945AD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5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1F" w14:textId="6336E8AF" w:rsidR="00BA1C14" w:rsidRPr="00133A50" w:rsidRDefault="008772B5" w:rsidP="003B2584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Тип відстеження регуляторного акт</w:t>
            </w:r>
            <w:r w:rsidR="003B2584">
              <w:rPr>
                <w:b/>
                <w:lang w:val="uk-UA"/>
              </w:rPr>
              <w:t>у</w:t>
            </w:r>
            <w:r w:rsidR="00BA1C14" w:rsidRPr="00133A50">
              <w:rPr>
                <w:b/>
                <w:lang w:val="uk-UA"/>
              </w:rPr>
              <w:t xml:space="preserve"> (базове, повторне, періодичне)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0" w14:textId="77777777" w:rsidR="005A175F" w:rsidRPr="00133A50" w:rsidRDefault="008772B5" w:rsidP="0082390A">
            <w:pPr>
              <w:tabs>
                <w:tab w:val="left" w:pos="6761"/>
              </w:tabs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t>Здійснюється</w:t>
            </w:r>
            <w:r w:rsidR="00290C3B" w:rsidRPr="00133A50">
              <w:rPr>
                <w:lang w:val="uk-UA"/>
              </w:rPr>
              <w:t xml:space="preserve"> </w:t>
            </w:r>
            <w:r w:rsidR="00BD0F02" w:rsidRPr="00133A50">
              <w:rPr>
                <w:lang w:val="uk-UA"/>
              </w:rPr>
              <w:t>повторне</w:t>
            </w:r>
            <w:r w:rsidRPr="00133A50">
              <w:rPr>
                <w:lang w:val="uk-UA"/>
              </w:rPr>
              <w:t xml:space="preserve"> відстеження результативності регуляторного акта.</w:t>
            </w:r>
          </w:p>
          <w:p w14:paraId="50790221" w14:textId="77777777" w:rsidR="00617D2A" w:rsidRPr="00133A50" w:rsidRDefault="00617D2A" w:rsidP="0082390A">
            <w:pPr>
              <w:tabs>
                <w:tab w:val="left" w:pos="6761"/>
              </w:tabs>
              <w:jc w:val="both"/>
              <w:rPr>
                <w:lang w:val="uk-UA"/>
              </w:rPr>
            </w:pPr>
          </w:p>
        </w:tc>
      </w:tr>
      <w:tr w:rsidR="008772B5" w:rsidRPr="003B2584" w14:paraId="50790227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3" w14:textId="77777777" w:rsidR="008772B5" w:rsidRPr="00133A50" w:rsidRDefault="00534C7F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6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4" w14:textId="77777777" w:rsidR="008772B5" w:rsidRPr="00133A50" w:rsidRDefault="008772B5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5" w14:textId="77777777" w:rsidR="00297096" w:rsidRPr="00133A50" w:rsidRDefault="004846FC" w:rsidP="002856FC">
            <w:pPr>
              <w:contextualSpacing/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t>П</w:t>
            </w:r>
            <w:r w:rsidR="00D35142" w:rsidRPr="00133A50">
              <w:rPr>
                <w:lang w:val="uk-UA"/>
              </w:rPr>
              <w:t>о</w:t>
            </w:r>
            <w:r w:rsidR="006E4962" w:rsidRPr="00133A50">
              <w:rPr>
                <w:lang w:val="uk-UA"/>
              </w:rPr>
              <w:t xml:space="preserve">казники надходжень єдиного податку до бюджету </w:t>
            </w:r>
            <w:r w:rsidR="00032C54" w:rsidRPr="00133A50">
              <w:rPr>
                <w:lang w:val="uk-UA"/>
              </w:rPr>
              <w:t>Чорноморської міської територіальної громади</w:t>
            </w:r>
            <w:r w:rsidR="00011A1C" w:rsidRPr="00133A50">
              <w:rPr>
                <w:lang w:val="uk-UA"/>
              </w:rPr>
              <w:t xml:space="preserve"> та</w:t>
            </w:r>
            <w:r w:rsidR="002856FC" w:rsidRPr="00133A50">
              <w:rPr>
                <w:lang w:val="uk-UA"/>
              </w:rPr>
              <w:t xml:space="preserve"> дані щодо кількості суб’єктів господарювання, що сплачують єдиний податок на території Чорноморської міської </w:t>
            </w:r>
            <w:r w:rsidR="00B54EB7" w:rsidRPr="00133A50">
              <w:rPr>
                <w:lang w:val="uk-UA"/>
              </w:rPr>
              <w:t xml:space="preserve">територіальної </w:t>
            </w:r>
            <w:r w:rsidR="002856FC" w:rsidRPr="00133A50">
              <w:rPr>
                <w:lang w:val="uk-UA"/>
              </w:rPr>
              <w:t>громади.</w:t>
            </w:r>
          </w:p>
          <w:p w14:paraId="50790226" w14:textId="77777777" w:rsidR="00617D2A" w:rsidRPr="00133A50" w:rsidRDefault="00617D2A" w:rsidP="002856FC">
            <w:pPr>
              <w:contextualSpacing/>
              <w:jc w:val="both"/>
              <w:rPr>
                <w:lang w:val="uk-UA"/>
              </w:rPr>
            </w:pPr>
          </w:p>
        </w:tc>
      </w:tr>
      <w:tr w:rsidR="008772B5" w:rsidRPr="00133A50" w14:paraId="5079022E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8" w14:textId="77777777" w:rsidR="008772B5" w:rsidRPr="00133A50" w:rsidRDefault="00355E0D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7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9" w14:textId="77777777" w:rsidR="008772B5" w:rsidRPr="00133A50" w:rsidRDefault="008772B5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 xml:space="preserve">Дані та припущення, на основі яких відстежувалась результативність, </w:t>
            </w:r>
            <w:r w:rsidR="00B91A24" w:rsidRPr="00133A50">
              <w:rPr>
                <w:b/>
                <w:lang w:val="uk-UA"/>
              </w:rPr>
              <w:t xml:space="preserve">                       </w:t>
            </w:r>
            <w:r w:rsidRPr="00133A50">
              <w:rPr>
                <w:b/>
                <w:lang w:val="uk-UA"/>
              </w:rPr>
              <w:t>а також способи одержання даних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A" w14:textId="77777777" w:rsidR="00DB4E64" w:rsidRPr="00133A50" w:rsidRDefault="00617D2A" w:rsidP="00FD09FE">
            <w:pPr>
              <w:pStyle w:val="Title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Відстеження результативності відбувається</w:t>
            </w:r>
            <w:r w:rsidR="00ED269D" w:rsidRPr="00133A50">
              <w:rPr>
                <w:b w:val="0"/>
                <w:sz w:val="24"/>
                <w:szCs w:val="24"/>
              </w:rPr>
              <w:t xml:space="preserve"> відповідно до вимог Закону України „Про засади державної регуляторної політики у сфері господарської </w:t>
            </w:r>
            <w:proofErr w:type="spellStart"/>
            <w:r w:rsidR="00ED269D" w:rsidRPr="00133A50">
              <w:rPr>
                <w:b w:val="0"/>
                <w:sz w:val="24"/>
                <w:szCs w:val="24"/>
              </w:rPr>
              <w:t>дiяльностi</w:t>
            </w:r>
            <w:proofErr w:type="spellEnd"/>
            <w:r w:rsidR="00ED269D" w:rsidRPr="00133A50">
              <w:rPr>
                <w:b w:val="0"/>
                <w:sz w:val="24"/>
                <w:szCs w:val="24"/>
              </w:rPr>
              <w:t xml:space="preserve">”, Методики проведення аналізу впливу та відстеження результативності регуляторного акта, затвердженої постановою Кабінету Міністрів України від 11.03.04 № 308 «Про затвердження </w:t>
            </w:r>
            <w:r w:rsidR="00A174C3" w:rsidRPr="00133A50">
              <w:rPr>
                <w:b w:val="0"/>
                <w:sz w:val="24"/>
                <w:szCs w:val="24"/>
              </w:rPr>
              <w:t>методики</w:t>
            </w:r>
            <w:r w:rsidR="00ED269D" w:rsidRPr="00133A50">
              <w:rPr>
                <w:b w:val="0"/>
                <w:sz w:val="24"/>
                <w:szCs w:val="24"/>
              </w:rPr>
              <w:t xml:space="preserve"> проведення аналізу впливу та відстеження результативності регуляторного акта»</w:t>
            </w:r>
            <w:r w:rsidRPr="00133A50">
              <w:rPr>
                <w:b w:val="0"/>
                <w:sz w:val="24"/>
                <w:szCs w:val="24"/>
              </w:rPr>
              <w:t xml:space="preserve"> (зі змінами та доповненнями).</w:t>
            </w:r>
          </w:p>
          <w:p w14:paraId="5079022B" w14:textId="77777777" w:rsidR="006D37EE" w:rsidRPr="00133A50" w:rsidRDefault="006D37EE" w:rsidP="00B3385B">
            <w:pPr>
              <w:pStyle w:val="Title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 xml:space="preserve">Для відстеження результативності рішення використовувались дані про надходження </w:t>
            </w:r>
            <w:r w:rsidR="009F29D5" w:rsidRPr="00133A50">
              <w:rPr>
                <w:b w:val="0"/>
                <w:sz w:val="24"/>
                <w:szCs w:val="24"/>
              </w:rPr>
              <w:t xml:space="preserve">єдиного податку </w:t>
            </w:r>
            <w:r w:rsidRPr="00133A50">
              <w:rPr>
                <w:b w:val="0"/>
                <w:sz w:val="24"/>
                <w:szCs w:val="24"/>
              </w:rPr>
              <w:t>до бюджету</w:t>
            </w:r>
            <w:r w:rsidR="009F29D5" w:rsidRPr="00133A50">
              <w:rPr>
                <w:b w:val="0"/>
                <w:sz w:val="24"/>
                <w:szCs w:val="24"/>
              </w:rPr>
              <w:t xml:space="preserve"> Чорноморської міської територіальної громади та</w:t>
            </w:r>
            <w:r w:rsidRPr="00133A50">
              <w:rPr>
                <w:b w:val="0"/>
                <w:sz w:val="24"/>
                <w:szCs w:val="24"/>
              </w:rPr>
              <w:t xml:space="preserve"> кількість зареєстрованих платників єди</w:t>
            </w:r>
            <w:r w:rsidR="009F29D5" w:rsidRPr="00133A50">
              <w:rPr>
                <w:b w:val="0"/>
                <w:sz w:val="24"/>
                <w:szCs w:val="24"/>
              </w:rPr>
              <w:t>ного податку</w:t>
            </w:r>
            <w:r w:rsidRPr="00133A50">
              <w:rPr>
                <w:b w:val="0"/>
                <w:sz w:val="24"/>
                <w:szCs w:val="24"/>
              </w:rPr>
              <w:t xml:space="preserve">. Основні припущення базувались на прогнозах економічної активності суб’єктів господарювання та впливу зміни ставок на підприємницьке середовище. Оцінювались </w:t>
            </w:r>
            <w:r w:rsidRPr="00133A50">
              <w:rPr>
                <w:b w:val="0"/>
                <w:sz w:val="24"/>
                <w:szCs w:val="24"/>
              </w:rPr>
              <w:lastRenderedPageBreak/>
              <w:t>показники виконання бюджету, рівень податкових надходжень, а також потенційні соціально-економічні наслідки для громади.</w:t>
            </w:r>
          </w:p>
          <w:p w14:paraId="5079022C" w14:textId="77777777" w:rsidR="006D37EE" w:rsidRPr="00133A50" w:rsidRDefault="006D37EE" w:rsidP="006D37EE">
            <w:pPr>
              <w:pStyle w:val="Title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Сп</w:t>
            </w:r>
            <w:r w:rsidR="00B3385B" w:rsidRPr="00133A50">
              <w:rPr>
                <w:b w:val="0"/>
                <w:sz w:val="24"/>
                <w:szCs w:val="24"/>
              </w:rPr>
              <w:t xml:space="preserve">особи одержання даних включали </w:t>
            </w:r>
            <w:r w:rsidR="008835F2" w:rsidRPr="00133A50">
              <w:rPr>
                <w:b w:val="0"/>
                <w:sz w:val="24"/>
                <w:szCs w:val="24"/>
              </w:rPr>
              <w:t>дані отримані</w:t>
            </w:r>
            <w:r w:rsidR="006352BF" w:rsidRPr="00133A50">
              <w:rPr>
                <w:b w:val="0"/>
                <w:sz w:val="24"/>
                <w:szCs w:val="24"/>
              </w:rPr>
              <w:t xml:space="preserve"> через</w:t>
            </w:r>
            <w:r w:rsidR="008835F2" w:rsidRPr="00133A50">
              <w:rPr>
                <w:b w:val="0"/>
                <w:sz w:val="24"/>
                <w:szCs w:val="24"/>
              </w:rPr>
              <w:t xml:space="preserve"> </w:t>
            </w:r>
            <w:r w:rsidR="006352BF" w:rsidRPr="00133A50">
              <w:rPr>
                <w:b w:val="0"/>
                <w:sz w:val="24"/>
                <w:szCs w:val="24"/>
              </w:rPr>
              <w:t>ІТС "Електронний кабінет"</w:t>
            </w:r>
            <w:r w:rsidRPr="00133A50">
              <w:rPr>
                <w:b w:val="0"/>
                <w:sz w:val="24"/>
                <w:szCs w:val="24"/>
              </w:rPr>
              <w:t xml:space="preserve"> </w:t>
            </w:r>
            <w:r w:rsidR="006352BF" w:rsidRPr="00133A50">
              <w:rPr>
                <w:b w:val="0"/>
                <w:sz w:val="24"/>
                <w:szCs w:val="24"/>
              </w:rPr>
              <w:t>ГУ ДПС в Одеській області</w:t>
            </w:r>
            <w:r w:rsidRPr="00133A50">
              <w:rPr>
                <w:b w:val="0"/>
                <w:sz w:val="24"/>
                <w:szCs w:val="24"/>
              </w:rPr>
              <w:t>, звіти фінан</w:t>
            </w:r>
            <w:r w:rsidR="006352BF" w:rsidRPr="00133A50">
              <w:rPr>
                <w:b w:val="0"/>
                <w:sz w:val="24"/>
                <w:szCs w:val="24"/>
              </w:rPr>
              <w:t xml:space="preserve">сового управління міської ради </w:t>
            </w:r>
            <w:r w:rsidRPr="00133A50">
              <w:rPr>
                <w:b w:val="0"/>
                <w:sz w:val="24"/>
                <w:szCs w:val="24"/>
              </w:rPr>
              <w:t xml:space="preserve">та моніторинг динаміки змін кількості платників податків. Проведення порівняльного аналізу </w:t>
            </w:r>
            <w:r w:rsidR="00330BD7" w:rsidRPr="00133A50"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133A50">
              <w:rPr>
                <w:b w:val="0"/>
                <w:sz w:val="24"/>
                <w:szCs w:val="24"/>
              </w:rPr>
              <w:t>з показниками попередніх років дозволило оцінити ефективність регуляторного акта та його вплив на наповнення бюджету і розвиток підприємництва в регіоні.</w:t>
            </w:r>
          </w:p>
          <w:p w14:paraId="5079022D" w14:textId="77777777" w:rsidR="00DB4E64" w:rsidRPr="00133A50" w:rsidRDefault="00DB4E64" w:rsidP="00FD09FE">
            <w:pPr>
              <w:pStyle w:val="Title"/>
              <w:tabs>
                <w:tab w:val="left" w:pos="6761"/>
              </w:tabs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772B5" w:rsidRPr="00133A50" w14:paraId="50790236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2F" w14:textId="77777777" w:rsidR="003262EA" w:rsidRPr="00133A50" w:rsidRDefault="003262EA" w:rsidP="00782133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</w:p>
          <w:p w14:paraId="50790230" w14:textId="77777777" w:rsidR="008772B5" w:rsidRPr="00133A50" w:rsidRDefault="00FA7AB5" w:rsidP="00617D2A">
            <w:pPr>
              <w:pStyle w:val="Title"/>
              <w:tabs>
                <w:tab w:val="left" w:pos="6761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8</w:t>
            </w:r>
            <w:r w:rsidR="008772B5" w:rsidRPr="00133A5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31" w14:textId="77777777" w:rsidR="003262EA" w:rsidRPr="00133A50" w:rsidRDefault="003262EA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</w:p>
          <w:p w14:paraId="50790232" w14:textId="51F6E475" w:rsidR="008772B5" w:rsidRPr="00133A50" w:rsidRDefault="008772B5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Кількісні та якісні значення показників результативності акт</w:t>
            </w:r>
            <w:r w:rsidR="003B2584">
              <w:rPr>
                <w:b/>
                <w:lang w:val="uk-UA"/>
              </w:rPr>
              <w:t>у</w:t>
            </w:r>
            <w:bookmarkStart w:id="0" w:name="_GoBack"/>
            <w:bookmarkEnd w:id="0"/>
          </w:p>
          <w:p w14:paraId="50790233" w14:textId="77777777" w:rsidR="00BE7E30" w:rsidRPr="00133A50" w:rsidRDefault="00BE7E30" w:rsidP="00B145C2">
            <w:pPr>
              <w:tabs>
                <w:tab w:val="left" w:pos="6761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34" w14:textId="77777777" w:rsidR="00767074" w:rsidRPr="00133A50" w:rsidRDefault="00767074" w:rsidP="00767074">
            <w:pPr>
              <w:tabs>
                <w:tab w:val="left" w:pos="6761"/>
              </w:tabs>
              <w:jc w:val="both"/>
              <w:rPr>
                <w:color w:val="000000"/>
                <w:lang w:val="uk-UA"/>
              </w:rPr>
            </w:pPr>
            <w:r w:rsidRPr="00133A50">
              <w:rPr>
                <w:color w:val="000000"/>
                <w:lang w:val="uk-UA"/>
              </w:rPr>
              <w:t>Показники результативності проаналізовані за період 01.01.2022 – 01.12.2024</w:t>
            </w:r>
          </w:p>
          <w:p w14:paraId="50790235" w14:textId="77777777" w:rsidR="00297096" w:rsidRPr="00133A50" w:rsidRDefault="00297096" w:rsidP="00297096">
            <w:pPr>
              <w:ind w:left="-36"/>
              <w:jc w:val="both"/>
              <w:rPr>
                <w:lang w:val="uk-UA"/>
              </w:rPr>
            </w:pPr>
          </w:p>
        </w:tc>
      </w:tr>
      <w:tr w:rsidR="00782133" w:rsidRPr="00133A50" w14:paraId="50790280" w14:textId="77777777" w:rsidTr="00DB4E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37" w14:textId="77777777" w:rsidR="00782133" w:rsidRPr="00133A50" w:rsidRDefault="00782133" w:rsidP="00E34A7C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38" w14:textId="77777777" w:rsidR="00617D2A" w:rsidRPr="00133A50" w:rsidRDefault="00617D2A" w:rsidP="00617D2A">
            <w:pPr>
              <w:rPr>
                <w:b/>
                <w:lang w:val="uk-UA"/>
              </w:rPr>
            </w:pPr>
          </w:p>
          <w:p w14:paraId="50790239" w14:textId="77777777" w:rsidR="00782133" w:rsidRPr="00133A50" w:rsidRDefault="00782133" w:rsidP="0095645C">
            <w:pPr>
              <w:jc w:val="center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 xml:space="preserve">Надходження єдиного податку </w:t>
            </w:r>
            <w:r w:rsidR="00664FEA" w:rsidRPr="00133A50">
              <w:rPr>
                <w:b/>
                <w:lang w:val="uk-UA"/>
              </w:rPr>
              <w:t>за 2022</w:t>
            </w:r>
            <w:r w:rsidR="003B73CE" w:rsidRPr="00133A50">
              <w:rPr>
                <w:b/>
                <w:lang w:val="uk-UA"/>
              </w:rPr>
              <w:t>-2024рр. (станом на 01.12.2024</w:t>
            </w:r>
            <w:r w:rsidR="00BF3AFD" w:rsidRPr="00133A50">
              <w:rPr>
                <w:b/>
                <w:lang w:val="uk-UA"/>
              </w:rPr>
              <w:t>р.)</w:t>
            </w:r>
          </w:p>
          <w:p w14:paraId="5079023A" w14:textId="77777777" w:rsidR="004C64C9" w:rsidRPr="00133A50" w:rsidRDefault="00782133" w:rsidP="00782133">
            <w:pPr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t xml:space="preserve">                                                                                                                        Тис.</w:t>
            </w:r>
            <w:r w:rsidR="00540C3C" w:rsidRPr="00133A50">
              <w:rPr>
                <w:lang w:val="uk-UA"/>
              </w:rPr>
              <w:t xml:space="preserve"> </w:t>
            </w:r>
            <w:r w:rsidRPr="00133A50">
              <w:rPr>
                <w:lang w:val="uk-UA"/>
              </w:rPr>
              <w:t>грн.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117"/>
              <w:gridCol w:w="2268"/>
              <w:gridCol w:w="1852"/>
            </w:tblGrid>
            <w:tr w:rsidR="00782133" w:rsidRPr="00133A50" w14:paraId="50790241" w14:textId="77777777" w:rsidTr="00AD54D1">
              <w:tc>
                <w:tcPr>
                  <w:tcW w:w="2756" w:type="dxa"/>
                </w:tcPr>
                <w:p w14:paraId="5079023B" w14:textId="77777777" w:rsidR="00782133" w:rsidRPr="00133A50" w:rsidRDefault="00782133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період</w:t>
                  </w:r>
                </w:p>
              </w:tc>
              <w:tc>
                <w:tcPr>
                  <w:tcW w:w="2117" w:type="dxa"/>
                </w:tcPr>
                <w:p w14:paraId="5079023C" w14:textId="77777777" w:rsidR="00782133" w:rsidRPr="00133A50" w:rsidRDefault="00782133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Єдиний податок з фізичних осіб</w:t>
                  </w:r>
                </w:p>
                <w:p w14:paraId="5079023D" w14:textId="77777777" w:rsidR="00447CD0" w:rsidRPr="00133A50" w:rsidRDefault="00447CD0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(18050400)</w:t>
                  </w:r>
                </w:p>
              </w:tc>
              <w:tc>
                <w:tcPr>
                  <w:tcW w:w="2268" w:type="dxa"/>
                </w:tcPr>
                <w:p w14:paraId="5079023E" w14:textId="77777777" w:rsidR="00782133" w:rsidRPr="00133A50" w:rsidRDefault="00782133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Єдиний</w:t>
                  </w:r>
                  <w:r w:rsidR="003374ED" w:rsidRPr="00133A50">
                    <w:rPr>
                      <w:lang w:val="uk-UA"/>
                    </w:rPr>
                    <w:t xml:space="preserve"> податок</w:t>
                  </w:r>
                  <w:r w:rsidRPr="00133A50">
                    <w:rPr>
                      <w:lang w:val="uk-UA"/>
                    </w:rPr>
                    <w:t xml:space="preserve"> з юридичних осіб</w:t>
                  </w:r>
                </w:p>
                <w:p w14:paraId="5079023F" w14:textId="77777777" w:rsidR="00447CD0" w:rsidRPr="00133A50" w:rsidRDefault="00447CD0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(18050300)</w:t>
                  </w:r>
                </w:p>
              </w:tc>
              <w:tc>
                <w:tcPr>
                  <w:tcW w:w="1852" w:type="dxa"/>
                </w:tcPr>
                <w:p w14:paraId="50790240" w14:textId="77777777" w:rsidR="00782133" w:rsidRPr="00133A50" w:rsidRDefault="00782133" w:rsidP="004C64C9">
                  <w:pPr>
                    <w:jc w:val="center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РАЗОМ</w:t>
                  </w:r>
                </w:p>
              </w:tc>
            </w:tr>
            <w:tr w:rsidR="00782133" w:rsidRPr="00133A50" w14:paraId="50790246" w14:textId="77777777" w:rsidTr="00AD54D1">
              <w:trPr>
                <w:trHeight w:val="414"/>
              </w:trPr>
              <w:tc>
                <w:tcPr>
                  <w:tcW w:w="2756" w:type="dxa"/>
                </w:tcPr>
                <w:p w14:paraId="50790242" w14:textId="77777777" w:rsidR="00782133" w:rsidRPr="00133A50" w:rsidRDefault="00672BF8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2022</w:t>
                  </w:r>
                  <w:r w:rsidR="00782133" w:rsidRPr="00133A50">
                    <w:rPr>
                      <w:b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2117" w:type="dxa"/>
                </w:tcPr>
                <w:p w14:paraId="50790243" w14:textId="77777777" w:rsidR="00782133" w:rsidRPr="00133A50" w:rsidRDefault="00672BF8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50 165,7</w:t>
                  </w:r>
                </w:p>
              </w:tc>
              <w:tc>
                <w:tcPr>
                  <w:tcW w:w="2268" w:type="dxa"/>
                </w:tcPr>
                <w:p w14:paraId="50790244" w14:textId="77777777" w:rsidR="00782133" w:rsidRPr="00133A50" w:rsidRDefault="00672BF8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14 409,7</w:t>
                  </w:r>
                </w:p>
              </w:tc>
              <w:tc>
                <w:tcPr>
                  <w:tcW w:w="1852" w:type="dxa"/>
                </w:tcPr>
                <w:p w14:paraId="50790245" w14:textId="77777777" w:rsidR="00782133" w:rsidRPr="00133A50" w:rsidRDefault="00672BF8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64 575,4</w:t>
                  </w:r>
                </w:p>
              </w:tc>
            </w:tr>
            <w:tr w:rsidR="00782133" w:rsidRPr="00133A50" w14:paraId="5079024B" w14:textId="77777777" w:rsidTr="00AD54D1">
              <w:trPr>
                <w:trHeight w:val="410"/>
              </w:trPr>
              <w:tc>
                <w:tcPr>
                  <w:tcW w:w="2756" w:type="dxa"/>
                </w:tcPr>
                <w:p w14:paraId="50790247" w14:textId="77777777" w:rsidR="00782133" w:rsidRPr="00133A50" w:rsidRDefault="007704C8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2023</w:t>
                  </w:r>
                  <w:r w:rsidR="00782133" w:rsidRPr="00133A50">
                    <w:rPr>
                      <w:b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2117" w:type="dxa"/>
                </w:tcPr>
                <w:p w14:paraId="50790248" w14:textId="77777777" w:rsidR="00782133" w:rsidRPr="00133A50" w:rsidRDefault="002073F9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54 698</w:t>
                  </w:r>
                  <w:r w:rsidR="006731B1" w:rsidRPr="00133A50">
                    <w:rPr>
                      <w:b/>
                      <w:lang w:val="uk-UA"/>
                    </w:rPr>
                    <w:t>,</w:t>
                  </w:r>
                  <w:r w:rsidRPr="00133A50">
                    <w:rPr>
                      <w:b/>
                      <w:lang w:val="uk-UA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14:paraId="50790249" w14:textId="77777777" w:rsidR="00782133" w:rsidRPr="00133A50" w:rsidRDefault="002073F9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28 574,7</w:t>
                  </w:r>
                </w:p>
              </w:tc>
              <w:tc>
                <w:tcPr>
                  <w:tcW w:w="1852" w:type="dxa"/>
                </w:tcPr>
                <w:p w14:paraId="5079024A" w14:textId="77777777" w:rsidR="00782133" w:rsidRPr="00133A50" w:rsidRDefault="002073F9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83 273,3</w:t>
                  </w:r>
                </w:p>
              </w:tc>
            </w:tr>
            <w:tr w:rsidR="00782133" w:rsidRPr="00133A50" w14:paraId="50790250" w14:textId="77777777" w:rsidTr="00AD54D1">
              <w:trPr>
                <w:trHeight w:val="422"/>
              </w:trPr>
              <w:tc>
                <w:tcPr>
                  <w:tcW w:w="2756" w:type="dxa"/>
                </w:tcPr>
                <w:p w14:paraId="5079024C" w14:textId="77777777" w:rsidR="00782133" w:rsidRPr="00133A50" w:rsidRDefault="007704C8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Темп росту 2023</w:t>
                  </w:r>
                  <w:r w:rsidR="00782133" w:rsidRPr="00133A50">
                    <w:rPr>
                      <w:i/>
                      <w:lang w:val="uk-UA"/>
                    </w:rPr>
                    <w:t>/20</w:t>
                  </w:r>
                  <w:r w:rsidRPr="00133A50">
                    <w:rPr>
                      <w:i/>
                      <w:lang w:val="uk-UA"/>
                    </w:rPr>
                    <w:t>22</w:t>
                  </w:r>
                </w:p>
              </w:tc>
              <w:tc>
                <w:tcPr>
                  <w:tcW w:w="2117" w:type="dxa"/>
                </w:tcPr>
                <w:p w14:paraId="5079024D" w14:textId="77777777" w:rsidR="00782133" w:rsidRPr="00133A50" w:rsidRDefault="002073F9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109,0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  <w:tc>
                <w:tcPr>
                  <w:tcW w:w="2268" w:type="dxa"/>
                </w:tcPr>
                <w:p w14:paraId="5079024E" w14:textId="77777777" w:rsidR="00782133" w:rsidRPr="00133A50" w:rsidRDefault="002073F9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198,3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  <w:tc>
                <w:tcPr>
                  <w:tcW w:w="1852" w:type="dxa"/>
                </w:tcPr>
                <w:p w14:paraId="5079024F" w14:textId="77777777" w:rsidR="00782133" w:rsidRPr="00133A50" w:rsidRDefault="002073F9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129,0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</w:tr>
            <w:tr w:rsidR="00F0590A" w:rsidRPr="00133A50" w14:paraId="50790255" w14:textId="77777777" w:rsidTr="00AD54D1">
              <w:trPr>
                <w:trHeight w:val="420"/>
              </w:trPr>
              <w:tc>
                <w:tcPr>
                  <w:tcW w:w="2756" w:type="dxa"/>
                </w:tcPr>
                <w:p w14:paraId="50790251" w14:textId="77777777" w:rsidR="00F0590A" w:rsidRPr="00133A50" w:rsidRDefault="00F0590A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2023 рік (січень -листопад)</w:t>
                  </w:r>
                </w:p>
              </w:tc>
              <w:tc>
                <w:tcPr>
                  <w:tcW w:w="2117" w:type="dxa"/>
                </w:tcPr>
                <w:p w14:paraId="50790252" w14:textId="77777777" w:rsidR="00F0590A" w:rsidRPr="00133A50" w:rsidRDefault="00F0590A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51 119,4</w:t>
                  </w:r>
                </w:p>
              </w:tc>
              <w:tc>
                <w:tcPr>
                  <w:tcW w:w="2268" w:type="dxa"/>
                </w:tcPr>
                <w:p w14:paraId="50790253" w14:textId="77777777" w:rsidR="00F0590A" w:rsidRPr="00133A50" w:rsidRDefault="00F0590A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28 227,0</w:t>
                  </w:r>
                </w:p>
              </w:tc>
              <w:tc>
                <w:tcPr>
                  <w:tcW w:w="1852" w:type="dxa"/>
                </w:tcPr>
                <w:p w14:paraId="50790254" w14:textId="77777777" w:rsidR="00F0590A" w:rsidRPr="00133A50" w:rsidRDefault="00F0590A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79 346,4</w:t>
                  </w:r>
                </w:p>
              </w:tc>
            </w:tr>
            <w:tr w:rsidR="00782133" w:rsidRPr="00133A50" w14:paraId="5079025A" w14:textId="77777777" w:rsidTr="00AD54D1">
              <w:trPr>
                <w:trHeight w:val="420"/>
              </w:trPr>
              <w:tc>
                <w:tcPr>
                  <w:tcW w:w="2756" w:type="dxa"/>
                </w:tcPr>
                <w:p w14:paraId="50790256" w14:textId="77777777" w:rsidR="00782133" w:rsidRPr="00133A50" w:rsidRDefault="00EA27D9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2024</w:t>
                  </w:r>
                  <w:r w:rsidR="00782133" w:rsidRPr="00133A50">
                    <w:rPr>
                      <w:b/>
                      <w:lang w:val="uk-UA"/>
                    </w:rPr>
                    <w:t xml:space="preserve"> рік</w:t>
                  </w:r>
                  <w:r w:rsidR="00F0590A" w:rsidRPr="00133A50">
                    <w:rPr>
                      <w:b/>
                      <w:lang w:val="uk-UA"/>
                    </w:rPr>
                    <w:t xml:space="preserve"> (січень -</w:t>
                  </w:r>
                  <w:r w:rsidRPr="00133A50">
                    <w:rPr>
                      <w:b/>
                      <w:lang w:val="uk-UA"/>
                    </w:rPr>
                    <w:t>листопад)</w:t>
                  </w:r>
                </w:p>
              </w:tc>
              <w:tc>
                <w:tcPr>
                  <w:tcW w:w="2117" w:type="dxa"/>
                </w:tcPr>
                <w:p w14:paraId="50790257" w14:textId="77777777" w:rsidR="00782133" w:rsidRPr="00133A50" w:rsidRDefault="004B07EC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78 545,5</w:t>
                  </w:r>
                </w:p>
              </w:tc>
              <w:tc>
                <w:tcPr>
                  <w:tcW w:w="2268" w:type="dxa"/>
                </w:tcPr>
                <w:p w14:paraId="50790258" w14:textId="77777777" w:rsidR="00782133" w:rsidRPr="00133A50" w:rsidRDefault="004B07EC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11 647,6</w:t>
                  </w:r>
                </w:p>
              </w:tc>
              <w:tc>
                <w:tcPr>
                  <w:tcW w:w="1852" w:type="dxa"/>
                </w:tcPr>
                <w:p w14:paraId="50790259" w14:textId="77777777" w:rsidR="00377F2E" w:rsidRPr="00133A50" w:rsidRDefault="004B07EC" w:rsidP="00954EE4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90 193,1</w:t>
                  </w:r>
                </w:p>
              </w:tc>
            </w:tr>
            <w:tr w:rsidR="004C64C9" w:rsidRPr="00133A50" w14:paraId="5079025F" w14:textId="77777777" w:rsidTr="00AD54D1">
              <w:trPr>
                <w:trHeight w:val="447"/>
              </w:trPr>
              <w:tc>
                <w:tcPr>
                  <w:tcW w:w="2756" w:type="dxa"/>
                </w:tcPr>
                <w:p w14:paraId="5079025B" w14:textId="77777777" w:rsidR="004C64C9" w:rsidRPr="00133A50" w:rsidRDefault="00EA27D9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Темп росту 2024</w:t>
                  </w:r>
                  <w:r w:rsidR="004C64C9" w:rsidRPr="00133A50">
                    <w:rPr>
                      <w:i/>
                      <w:lang w:val="uk-UA"/>
                    </w:rPr>
                    <w:t>/20</w:t>
                  </w:r>
                  <w:r w:rsidRPr="00133A50">
                    <w:rPr>
                      <w:i/>
                      <w:lang w:val="uk-UA"/>
                    </w:rPr>
                    <w:t>23</w:t>
                  </w:r>
                  <w:r w:rsidR="00D72007" w:rsidRPr="00133A50">
                    <w:rPr>
                      <w:i/>
                      <w:lang w:val="uk-UA"/>
                    </w:rPr>
                    <w:t xml:space="preserve"> (січень-листопад)</w:t>
                  </w:r>
                </w:p>
              </w:tc>
              <w:tc>
                <w:tcPr>
                  <w:tcW w:w="2117" w:type="dxa"/>
                </w:tcPr>
                <w:p w14:paraId="5079025C" w14:textId="77777777" w:rsidR="004C64C9" w:rsidRPr="00133A50" w:rsidRDefault="00F0590A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153,7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  <w:tc>
                <w:tcPr>
                  <w:tcW w:w="2268" w:type="dxa"/>
                </w:tcPr>
                <w:p w14:paraId="5079025D" w14:textId="77777777" w:rsidR="004C64C9" w:rsidRPr="00133A50" w:rsidRDefault="00F0590A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41,3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  <w:tc>
                <w:tcPr>
                  <w:tcW w:w="1852" w:type="dxa"/>
                </w:tcPr>
                <w:p w14:paraId="5079025E" w14:textId="77777777" w:rsidR="004C64C9" w:rsidRPr="00133A50" w:rsidRDefault="00F0590A" w:rsidP="00954EE4">
                  <w:pPr>
                    <w:jc w:val="center"/>
                    <w:rPr>
                      <w:i/>
                      <w:lang w:val="uk-UA"/>
                    </w:rPr>
                  </w:pPr>
                  <w:r w:rsidRPr="00133A50">
                    <w:rPr>
                      <w:i/>
                      <w:lang w:val="uk-UA"/>
                    </w:rPr>
                    <w:t>113,7</w:t>
                  </w:r>
                  <w:r w:rsidR="004C64C9" w:rsidRPr="00133A50">
                    <w:rPr>
                      <w:i/>
                      <w:lang w:val="uk-UA"/>
                    </w:rPr>
                    <w:t xml:space="preserve"> %</w:t>
                  </w:r>
                </w:p>
              </w:tc>
            </w:tr>
          </w:tbl>
          <w:p w14:paraId="50790260" w14:textId="77777777" w:rsidR="00D81886" w:rsidRPr="00133A50" w:rsidRDefault="00D81886" w:rsidP="00162F34">
            <w:pPr>
              <w:rPr>
                <w:lang w:val="uk-UA"/>
              </w:rPr>
            </w:pPr>
          </w:p>
          <w:p w14:paraId="50790261" w14:textId="77777777" w:rsidR="00CB3A52" w:rsidRPr="00133A50" w:rsidRDefault="004C64C9" w:rsidP="00D2293B">
            <w:pPr>
              <w:jc w:val="both"/>
              <w:rPr>
                <w:lang w:val="uk-UA"/>
              </w:rPr>
            </w:pPr>
            <w:r w:rsidRPr="00133A50">
              <w:rPr>
                <w:noProof/>
                <w:color w:val="FF0000"/>
                <w:lang w:val="uk-UA" w:eastAsia="uk-UA"/>
              </w:rPr>
              <w:drawing>
                <wp:inline distT="0" distB="0" distL="0" distR="0" wp14:anchorId="50790293" wp14:editId="50790294">
                  <wp:extent cx="5681106" cy="344003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50790262" w14:textId="77777777" w:rsidR="00F74F4D" w:rsidRPr="00133A50" w:rsidRDefault="00F74F4D" w:rsidP="00D2293B">
            <w:pPr>
              <w:jc w:val="both"/>
              <w:rPr>
                <w:lang w:val="uk-UA"/>
              </w:rPr>
            </w:pPr>
          </w:p>
          <w:p w14:paraId="50790263" w14:textId="77777777" w:rsidR="00CB3A52" w:rsidRPr="00133A50" w:rsidRDefault="008844D0" w:rsidP="00CA369C">
            <w:pPr>
              <w:jc w:val="both"/>
              <w:rPr>
                <w:lang w:val="uk-UA"/>
              </w:rPr>
            </w:pPr>
            <w:r w:rsidRPr="00133A50">
              <w:rPr>
                <w:lang w:val="uk-UA"/>
              </w:rPr>
              <w:lastRenderedPageBreak/>
              <w:t xml:space="preserve">       </w:t>
            </w:r>
          </w:p>
          <w:p w14:paraId="50790264" w14:textId="77777777" w:rsidR="004C64C9" w:rsidRPr="00133A50" w:rsidRDefault="00BF3AFD" w:rsidP="0095645C">
            <w:pPr>
              <w:jc w:val="center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Кількість суб`єктів господарювання (юридичних осіб та фізичних осіб - підприємців), які обрали спрощену систему оподаткування.</w:t>
            </w:r>
          </w:p>
          <w:p w14:paraId="50790265" w14:textId="77777777" w:rsidR="0095645C" w:rsidRPr="00133A50" w:rsidRDefault="0095645C" w:rsidP="0095645C">
            <w:pPr>
              <w:jc w:val="center"/>
              <w:rPr>
                <w:b/>
                <w:lang w:val="uk-UA"/>
              </w:rPr>
            </w:pPr>
          </w:p>
          <w:tbl>
            <w:tblPr>
              <w:tblStyle w:val="TableGrid"/>
              <w:tblW w:w="0" w:type="auto"/>
              <w:tblInd w:w="1799" w:type="dxa"/>
              <w:tblLook w:val="04A0" w:firstRow="1" w:lastRow="0" w:firstColumn="1" w:lastColumn="0" w:noHBand="0" w:noVBand="1"/>
            </w:tblPr>
            <w:tblGrid>
              <w:gridCol w:w="1476"/>
              <w:gridCol w:w="1550"/>
              <w:gridCol w:w="1687"/>
              <w:gridCol w:w="1076"/>
            </w:tblGrid>
            <w:tr w:rsidR="00D4494C" w:rsidRPr="00133A50" w14:paraId="50790268" w14:textId="77777777" w:rsidTr="00D4494C">
              <w:tc>
                <w:tcPr>
                  <w:tcW w:w="1476" w:type="dxa"/>
                  <w:vMerge w:val="restart"/>
                </w:tcPr>
                <w:p w14:paraId="50790266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період</w:t>
                  </w:r>
                </w:p>
              </w:tc>
              <w:tc>
                <w:tcPr>
                  <w:tcW w:w="4313" w:type="dxa"/>
                  <w:gridSpan w:val="3"/>
                </w:tcPr>
                <w:p w14:paraId="50790267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Кількість платників єдиного податку</w:t>
                  </w:r>
                </w:p>
              </w:tc>
            </w:tr>
            <w:tr w:rsidR="00D4494C" w:rsidRPr="00133A50" w14:paraId="5079026D" w14:textId="77777777" w:rsidTr="00D4494C">
              <w:tc>
                <w:tcPr>
                  <w:tcW w:w="1476" w:type="dxa"/>
                  <w:vMerge/>
                </w:tcPr>
                <w:p w14:paraId="50790269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50" w:type="dxa"/>
                </w:tcPr>
                <w:p w14:paraId="5079026A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Юридичних осіб</w:t>
                  </w:r>
                </w:p>
              </w:tc>
              <w:tc>
                <w:tcPr>
                  <w:tcW w:w="1687" w:type="dxa"/>
                </w:tcPr>
                <w:p w14:paraId="5079026B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Фізичних осіб - підприємців</w:t>
                  </w:r>
                </w:p>
              </w:tc>
              <w:tc>
                <w:tcPr>
                  <w:tcW w:w="1076" w:type="dxa"/>
                </w:tcPr>
                <w:p w14:paraId="5079026C" w14:textId="77777777" w:rsidR="00D4494C" w:rsidRPr="00133A50" w:rsidRDefault="00D4494C" w:rsidP="0095645C">
                  <w:pPr>
                    <w:jc w:val="center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РАЗОМ</w:t>
                  </w:r>
                </w:p>
              </w:tc>
            </w:tr>
            <w:tr w:rsidR="00D4494C" w:rsidRPr="00133A50" w14:paraId="50790272" w14:textId="77777777" w:rsidTr="00D4494C">
              <w:tc>
                <w:tcPr>
                  <w:tcW w:w="1476" w:type="dxa"/>
                </w:tcPr>
                <w:p w14:paraId="5079026E" w14:textId="77777777" w:rsidR="00D4494C" w:rsidRPr="00133A50" w:rsidRDefault="00B971BC" w:rsidP="0095645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 xml:space="preserve"> 2022</w:t>
                  </w:r>
                  <w:r w:rsidR="00D4494C" w:rsidRPr="00133A50">
                    <w:rPr>
                      <w:lang w:val="uk-UA"/>
                    </w:rPr>
                    <w:t>р.</w:t>
                  </w:r>
                </w:p>
              </w:tc>
              <w:tc>
                <w:tcPr>
                  <w:tcW w:w="1550" w:type="dxa"/>
                </w:tcPr>
                <w:p w14:paraId="5079026F" w14:textId="77777777" w:rsidR="00D4494C" w:rsidRPr="00133A50" w:rsidRDefault="00D4494C" w:rsidP="0095645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2</w:t>
                  </w:r>
                  <w:r w:rsidR="004015B2" w:rsidRPr="00133A50">
                    <w:rPr>
                      <w:lang w:val="uk-UA"/>
                    </w:rPr>
                    <w:t>67</w:t>
                  </w:r>
                </w:p>
              </w:tc>
              <w:tc>
                <w:tcPr>
                  <w:tcW w:w="1687" w:type="dxa"/>
                </w:tcPr>
                <w:p w14:paraId="50790270" w14:textId="77777777" w:rsidR="00D4494C" w:rsidRPr="00133A50" w:rsidRDefault="00D4494C" w:rsidP="0095645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2 6</w:t>
                  </w:r>
                  <w:r w:rsidR="004015B2" w:rsidRPr="00133A50">
                    <w:rPr>
                      <w:lang w:val="uk-UA"/>
                    </w:rPr>
                    <w:t>22</w:t>
                  </w:r>
                </w:p>
              </w:tc>
              <w:tc>
                <w:tcPr>
                  <w:tcW w:w="1076" w:type="dxa"/>
                </w:tcPr>
                <w:p w14:paraId="50790271" w14:textId="77777777" w:rsidR="00D4494C" w:rsidRPr="00133A50" w:rsidRDefault="00D4494C" w:rsidP="0095645C">
                  <w:pPr>
                    <w:jc w:val="both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2 8</w:t>
                  </w:r>
                  <w:r w:rsidR="004015B2" w:rsidRPr="00133A50">
                    <w:rPr>
                      <w:b/>
                      <w:lang w:val="uk-UA"/>
                    </w:rPr>
                    <w:t>89</w:t>
                  </w:r>
                </w:p>
              </w:tc>
            </w:tr>
            <w:tr w:rsidR="00D4494C" w:rsidRPr="00133A50" w14:paraId="50790277" w14:textId="77777777" w:rsidTr="005D2ED2">
              <w:trPr>
                <w:trHeight w:val="321"/>
              </w:trPr>
              <w:tc>
                <w:tcPr>
                  <w:tcW w:w="1476" w:type="dxa"/>
                </w:tcPr>
                <w:p w14:paraId="50790273" w14:textId="77777777" w:rsidR="00D4494C" w:rsidRPr="00133A50" w:rsidRDefault="00B971BC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 xml:space="preserve"> 2023</w:t>
                  </w:r>
                  <w:r w:rsidR="00D4494C" w:rsidRPr="00133A50">
                    <w:rPr>
                      <w:lang w:val="uk-UA"/>
                    </w:rPr>
                    <w:t>р.</w:t>
                  </w:r>
                </w:p>
              </w:tc>
              <w:tc>
                <w:tcPr>
                  <w:tcW w:w="1550" w:type="dxa"/>
                </w:tcPr>
                <w:p w14:paraId="50790274" w14:textId="77777777" w:rsidR="00D4494C" w:rsidRPr="00133A50" w:rsidRDefault="00E41DE6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195</w:t>
                  </w:r>
                </w:p>
              </w:tc>
              <w:tc>
                <w:tcPr>
                  <w:tcW w:w="1687" w:type="dxa"/>
                </w:tcPr>
                <w:p w14:paraId="50790275" w14:textId="77777777" w:rsidR="00D4494C" w:rsidRPr="00133A50" w:rsidRDefault="00D13079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2</w:t>
                  </w:r>
                  <w:r w:rsidR="00995933" w:rsidRPr="00133A50">
                    <w:rPr>
                      <w:lang w:val="uk-UA"/>
                    </w:rPr>
                    <w:t xml:space="preserve"> 6</w:t>
                  </w:r>
                  <w:r w:rsidR="00384ADD" w:rsidRPr="00133A50">
                    <w:rPr>
                      <w:lang w:val="uk-UA"/>
                    </w:rPr>
                    <w:t>21</w:t>
                  </w:r>
                </w:p>
              </w:tc>
              <w:tc>
                <w:tcPr>
                  <w:tcW w:w="1076" w:type="dxa"/>
                </w:tcPr>
                <w:p w14:paraId="50790276" w14:textId="77777777" w:rsidR="00D4494C" w:rsidRPr="00133A50" w:rsidRDefault="00B416DA" w:rsidP="00D4494C">
                  <w:pPr>
                    <w:jc w:val="both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2 8</w:t>
                  </w:r>
                  <w:r w:rsidR="00A01114" w:rsidRPr="00133A50">
                    <w:rPr>
                      <w:b/>
                      <w:lang w:val="uk-UA"/>
                    </w:rPr>
                    <w:t>16</w:t>
                  </w:r>
                </w:p>
              </w:tc>
            </w:tr>
            <w:tr w:rsidR="00D4494C" w:rsidRPr="00133A50" w14:paraId="5079027C" w14:textId="77777777" w:rsidTr="00D4494C">
              <w:tc>
                <w:tcPr>
                  <w:tcW w:w="1476" w:type="dxa"/>
                </w:tcPr>
                <w:p w14:paraId="50790278" w14:textId="77777777" w:rsidR="00D4494C" w:rsidRPr="00133A50" w:rsidRDefault="00D4494C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 xml:space="preserve">Станом на </w:t>
                  </w:r>
                  <w:r w:rsidR="006E4449" w:rsidRPr="00133A50">
                    <w:rPr>
                      <w:lang w:val="uk-UA"/>
                    </w:rPr>
                    <w:t>01.12.2024</w:t>
                  </w:r>
                  <w:r w:rsidRPr="00133A50">
                    <w:rPr>
                      <w:lang w:val="uk-UA"/>
                    </w:rPr>
                    <w:t>р.</w:t>
                  </w:r>
                </w:p>
              </w:tc>
              <w:tc>
                <w:tcPr>
                  <w:tcW w:w="1550" w:type="dxa"/>
                </w:tcPr>
                <w:p w14:paraId="50790279" w14:textId="77777777" w:rsidR="00D4494C" w:rsidRPr="00133A50" w:rsidRDefault="00AD05E5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165</w:t>
                  </w:r>
                </w:p>
              </w:tc>
              <w:tc>
                <w:tcPr>
                  <w:tcW w:w="1687" w:type="dxa"/>
                </w:tcPr>
                <w:p w14:paraId="5079027A" w14:textId="77777777" w:rsidR="00D4494C" w:rsidRPr="00133A50" w:rsidRDefault="00D13079" w:rsidP="00D4494C">
                  <w:pPr>
                    <w:jc w:val="both"/>
                    <w:rPr>
                      <w:lang w:val="uk-UA"/>
                    </w:rPr>
                  </w:pPr>
                  <w:r w:rsidRPr="00133A50">
                    <w:rPr>
                      <w:lang w:val="uk-UA"/>
                    </w:rPr>
                    <w:t>2 6</w:t>
                  </w:r>
                  <w:r w:rsidR="00AD05E5" w:rsidRPr="00133A50">
                    <w:rPr>
                      <w:lang w:val="uk-UA"/>
                    </w:rPr>
                    <w:t>83</w:t>
                  </w:r>
                </w:p>
              </w:tc>
              <w:tc>
                <w:tcPr>
                  <w:tcW w:w="1076" w:type="dxa"/>
                </w:tcPr>
                <w:p w14:paraId="5079027B" w14:textId="77777777" w:rsidR="00D4494C" w:rsidRPr="00133A50" w:rsidRDefault="00D13079" w:rsidP="00D4494C">
                  <w:pPr>
                    <w:jc w:val="both"/>
                    <w:rPr>
                      <w:b/>
                      <w:lang w:val="uk-UA"/>
                    </w:rPr>
                  </w:pPr>
                  <w:r w:rsidRPr="00133A50">
                    <w:rPr>
                      <w:b/>
                      <w:lang w:val="uk-UA"/>
                    </w:rPr>
                    <w:t>2</w:t>
                  </w:r>
                  <w:r w:rsidR="00D4494C" w:rsidRPr="00133A50">
                    <w:rPr>
                      <w:b/>
                      <w:lang w:val="uk-UA"/>
                    </w:rPr>
                    <w:t xml:space="preserve"> </w:t>
                  </w:r>
                  <w:r w:rsidRPr="00133A50">
                    <w:rPr>
                      <w:b/>
                      <w:lang w:val="uk-UA"/>
                    </w:rPr>
                    <w:t>8</w:t>
                  </w:r>
                  <w:r w:rsidR="00AD05E5" w:rsidRPr="00133A50">
                    <w:rPr>
                      <w:b/>
                      <w:lang w:val="uk-UA"/>
                    </w:rPr>
                    <w:t>48</w:t>
                  </w:r>
                </w:p>
              </w:tc>
            </w:tr>
          </w:tbl>
          <w:p w14:paraId="5079027D" w14:textId="77777777" w:rsidR="00DB4E64" w:rsidRPr="00133A50" w:rsidRDefault="00DB4E64" w:rsidP="00DB4E64">
            <w:pPr>
              <w:rPr>
                <w:b/>
                <w:lang w:val="uk-UA"/>
              </w:rPr>
            </w:pPr>
          </w:p>
          <w:p w14:paraId="5079027E" w14:textId="77777777" w:rsidR="00692A5D" w:rsidRPr="00133A50" w:rsidRDefault="00692A5D" w:rsidP="00DB4E64">
            <w:pPr>
              <w:rPr>
                <w:b/>
                <w:lang w:val="uk-UA"/>
              </w:rPr>
            </w:pPr>
          </w:p>
          <w:p w14:paraId="5079027F" w14:textId="77777777" w:rsidR="00782133" w:rsidRPr="00133A50" w:rsidRDefault="00782133" w:rsidP="00DB4E64">
            <w:pPr>
              <w:jc w:val="both"/>
              <w:rPr>
                <w:lang w:val="uk-UA"/>
              </w:rPr>
            </w:pPr>
          </w:p>
        </w:tc>
      </w:tr>
      <w:tr w:rsidR="00E003BF" w:rsidRPr="003B2584" w14:paraId="50790288" w14:textId="77777777" w:rsidTr="009A59C5">
        <w:tblPrEx>
          <w:tblLook w:val="04A0" w:firstRow="1" w:lastRow="0" w:firstColumn="1" w:lastColumn="0" w:noHBand="0" w:noVBand="1"/>
        </w:tblPrEx>
        <w:tc>
          <w:tcPr>
            <w:tcW w:w="685" w:type="dxa"/>
          </w:tcPr>
          <w:p w14:paraId="50790281" w14:textId="77777777" w:rsidR="00E003BF" w:rsidRPr="00133A50" w:rsidRDefault="00E003BF" w:rsidP="009A3EC8">
            <w:pPr>
              <w:pStyle w:val="Title"/>
              <w:tabs>
                <w:tab w:val="left" w:pos="6761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14:paraId="50790282" w14:textId="77777777" w:rsidR="00E003BF" w:rsidRPr="00133A50" w:rsidRDefault="00E003BF" w:rsidP="008118A8">
            <w:pPr>
              <w:pStyle w:val="Title"/>
              <w:tabs>
                <w:tab w:val="left" w:pos="6761"/>
              </w:tabs>
              <w:ind w:firstLine="0"/>
              <w:rPr>
                <w:b w:val="0"/>
                <w:sz w:val="24"/>
                <w:szCs w:val="24"/>
              </w:rPr>
            </w:pPr>
            <w:r w:rsidRPr="00133A50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815" w:type="dxa"/>
            <w:gridSpan w:val="2"/>
          </w:tcPr>
          <w:p w14:paraId="50790283" w14:textId="77777777" w:rsidR="00E003BF" w:rsidRPr="00133A50" w:rsidRDefault="00E003BF" w:rsidP="008118A8">
            <w:pPr>
              <w:ind w:left="-36"/>
              <w:jc w:val="both"/>
              <w:rPr>
                <w:b/>
                <w:lang w:val="uk-UA"/>
              </w:rPr>
            </w:pPr>
          </w:p>
          <w:p w14:paraId="50790284" w14:textId="77777777" w:rsidR="00E003BF" w:rsidRPr="00133A50" w:rsidRDefault="00E003BF" w:rsidP="009A3EC8">
            <w:pPr>
              <w:jc w:val="both"/>
              <w:rPr>
                <w:b/>
                <w:lang w:val="uk-UA"/>
              </w:rPr>
            </w:pPr>
            <w:r w:rsidRPr="00133A50">
              <w:rPr>
                <w:b/>
                <w:lang w:val="uk-UA"/>
              </w:rPr>
              <w:t>Оцінка результатів реалізації регуляторного акту та ступеня досягнення визначених цілей</w:t>
            </w:r>
          </w:p>
          <w:p w14:paraId="50790285" w14:textId="77777777" w:rsidR="00E003BF" w:rsidRPr="00133A50" w:rsidRDefault="00E003BF" w:rsidP="00D15B1C">
            <w:pPr>
              <w:jc w:val="both"/>
              <w:rPr>
                <w:lang w:val="uk-UA"/>
              </w:rPr>
            </w:pPr>
          </w:p>
        </w:tc>
        <w:tc>
          <w:tcPr>
            <w:tcW w:w="4816" w:type="dxa"/>
          </w:tcPr>
          <w:p w14:paraId="50790286" w14:textId="77777777" w:rsidR="00E003BF" w:rsidRPr="00133A50" w:rsidRDefault="00E003BF" w:rsidP="00DB4E64">
            <w:pPr>
              <w:jc w:val="both"/>
              <w:rPr>
                <w:lang w:val="uk-UA"/>
              </w:rPr>
            </w:pPr>
          </w:p>
          <w:p w14:paraId="50790287" w14:textId="77777777" w:rsidR="00E003BF" w:rsidRPr="00133A50" w:rsidRDefault="00C52045" w:rsidP="00C76072">
            <w:pPr>
              <w:ind w:left="-36"/>
              <w:jc w:val="both"/>
              <w:rPr>
                <w:b/>
                <w:lang w:val="uk-UA"/>
              </w:rPr>
            </w:pPr>
            <w:r w:rsidRPr="00133A50">
              <w:rPr>
                <w:lang w:val="uk-UA"/>
              </w:rPr>
              <w:t>Забезпечення стабільного зростання бюджетних надходжень громади та підтримка підприємницької активності досягаються навіть за складних соціально-економічних умов, спричинених воєнним станом.</w:t>
            </w:r>
            <w:r w:rsidR="00C76072" w:rsidRPr="00133A50">
              <w:rPr>
                <w:lang w:val="uk-UA"/>
              </w:rPr>
              <w:t xml:space="preserve"> </w:t>
            </w:r>
            <w:r w:rsidRPr="00133A50">
              <w:rPr>
                <w:lang w:val="uk-UA"/>
              </w:rPr>
              <w:t>Аналіз надходжень єдиного податку демонструє позитивну тенденцію: обсяги податкових надходжень щороку збільшуються, незважаючи на виклики, з якими стикається економіка країни. За попередніми прогнозами, у 2024 році очікується надходження єдиного податку в</w:t>
            </w:r>
            <w:r w:rsidR="00E64B20" w:rsidRPr="00133A50">
              <w:rPr>
                <w:lang w:val="uk-UA"/>
              </w:rPr>
              <w:t xml:space="preserve"> розмірі 94,0 млн грн, що на 10,7</w:t>
            </w:r>
            <w:r w:rsidR="00824CC2" w:rsidRPr="00133A50">
              <w:rPr>
                <w:lang w:val="uk-UA"/>
              </w:rPr>
              <w:t xml:space="preserve"> млн грн (або 12,9</w:t>
            </w:r>
            <w:r w:rsidRPr="00133A50">
              <w:rPr>
                <w:lang w:val="uk-UA"/>
              </w:rPr>
              <w:t>%) перевищує показники 2023 року. Важливо підкреслити, що таких результатів досягнуто в умовах воєнного стану, коли підприємці стикаються з труднощами у сфері логістики, ресурсного забезпечення, безпеки та зниженням купівельної спроможності населення. Це зростання свідчить про адаптивність і стійкість місцевого бізнесу, ефективність регуляторних заходів та здатність громади підтримувати фінансову стабільність навіть у складних обставинах.</w:t>
            </w:r>
          </w:p>
        </w:tc>
      </w:tr>
    </w:tbl>
    <w:p w14:paraId="50790289" w14:textId="77777777" w:rsidR="008772B5" w:rsidRPr="00133A50" w:rsidRDefault="008772B5" w:rsidP="008772B5">
      <w:pPr>
        <w:pStyle w:val="Title"/>
        <w:tabs>
          <w:tab w:val="left" w:pos="6761"/>
        </w:tabs>
        <w:ind w:firstLine="0"/>
        <w:rPr>
          <w:b w:val="0"/>
          <w:sz w:val="24"/>
          <w:szCs w:val="24"/>
        </w:rPr>
      </w:pPr>
    </w:p>
    <w:p w14:paraId="5079028A" w14:textId="77777777" w:rsidR="008772B5" w:rsidRPr="00133A50" w:rsidRDefault="008772B5" w:rsidP="008772B5">
      <w:pPr>
        <w:tabs>
          <w:tab w:val="left" w:pos="6761"/>
        </w:tabs>
        <w:rPr>
          <w:lang w:val="uk-UA"/>
        </w:rPr>
      </w:pPr>
    </w:p>
    <w:p w14:paraId="5079028B" w14:textId="77777777" w:rsidR="008772B5" w:rsidRPr="00133A50" w:rsidRDefault="0079636D" w:rsidP="008772B5">
      <w:pPr>
        <w:tabs>
          <w:tab w:val="left" w:pos="6761"/>
        </w:tabs>
        <w:rPr>
          <w:lang w:val="uk-UA"/>
        </w:rPr>
      </w:pPr>
      <w:r w:rsidRPr="00133A50">
        <w:rPr>
          <w:lang w:val="uk-UA"/>
        </w:rPr>
        <w:t>"</w:t>
      </w:r>
      <w:r w:rsidR="00900672" w:rsidRPr="00133A50">
        <w:rPr>
          <w:lang w:val="uk-UA"/>
        </w:rPr>
        <w:t>30</w:t>
      </w:r>
      <w:r w:rsidR="00592239" w:rsidRPr="00133A50">
        <w:rPr>
          <w:lang w:val="uk-UA"/>
        </w:rPr>
        <w:t>" груд</w:t>
      </w:r>
      <w:r w:rsidR="00844104" w:rsidRPr="00133A50">
        <w:rPr>
          <w:lang w:val="uk-UA"/>
        </w:rPr>
        <w:t>ня</w:t>
      </w:r>
      <w:r w:rsidR="00592239" w:rsidRPr="00133A50">
        <w:rPr>
          <w:lang w:val="uk-UA"/>
        </w:rPr>
        <w:t xml:space="preserve"> 2024</w:t>
      </w:r>
      <w:r w:rsidR="00402D08" w:rsidRPr="00133A50">
        <w:rPr>
          <w:lang w:val="uk-UA"/>
        </w:rPr>
        <w:t xml:space="preserve"> </w:t>
      </w:r>
      <w:r w:rsidRPr="00133A50">
        <w:rPr>
          <w:lang w:val="uk-UA"/>
        </w:rPr>
        <w:t>року</w:t>
      </w:r>
    </w:p>
    <w:p w14:paraId="5079028C" w14:textId="77777777" w:rsidR="00402D08" w:rsidRPr="00133A50" w:rsidRDefault="00402D08" w:rsidP="008772B5">
      <w:pPr>
        <w:tabs>
          <w:tab w:val="left" w:pos="6761"/>
        </w:tabs>
        <w:rPr>
          <w:lang w:val="uk-UA"/>
        </w:rPr>
      </w:pPr>
    </w:p>
    <w:p w14:paraId="5079028D" w14:textId="77777777" w:rsidR="00402D08" w:rsidRPr="00133A50" w:rsidRDefault="00402D08" w:rsidP="008772B5">
      <w:pPr>
        <w:tabs>
          <w:tab w:val="left" w:pos="6761"/>
        </w:tabs>
        <w:rPr>
          <w:lang w:val="uk-UA"/>
        </w:rPr>
      </w:pPr>
    </w:p>
    <w:p w14:paraId="5079028E" w14:textId="77777777" w:rsidR="00490EFF" w:rsidRPr="00133A50" w:rsidRDefault="00490EFF" w:rsidP="008772B5">
      <w:pPr>
        <w:tabs>
          <w:tab w:val="left" w:pos="6761"/>
        </w:tabs>
        <w:rPr>
          <w:sz w:val="28"/>
          <w:szCs w:val="28"/>
          <w:lang w:val="uk-UA"/>
        </w:rPr>
      </w:pPr>
    </w:p>
    <w:p w14:paraId="5079028F" w14:textId="77777777" w:rsidR="00105794" w:rsidRPr="00133A50" w:rsidRDefault="00105794" w:rsidP="00105794">
      <w:pPr>
        <w:jc w:val="both"/>
        <w:rPr>
          <w:b/>
          <w:lang w:val="uk-UA"/>
        </w:rPr>
      </w:pPr>
      <w:r w:rsidRPr="00133A50">
        <w:rPr>
          <w:b/>
          <w:lang w:val="uk-UA"/>
        </w:rPr>
        <w:t xml:space="preserve">Заступник начальника фінансового управління – </w:t>
      </w:r>
    </w:p>
    <w:p w14:paraId="50790290" w14:textId="77777777" w:rsidR="00105794" w:rsidRPr="00133A50" w:rsidRDefault="00105794" w:rsidP="00105794">
      <w:pPr>
        <w:jc w:val="both"/>
        <w:rPr>
          <w:sz w:val="28"/>
          <w:szCs w:val="28"/>
          <w:lang w:val="uk-UA"/>
        </w:rPr>
      </w:pPr>
      <w:r w:rsidRPr="00133A50">
        <w:rPr>
          <w:b/>
          <w:lang w:val="uk-UA"/>
        </w:rPr>
        <w:t>начальник бюджетного відділу                                                         Світлана ПЄРКОВА</w:t>
      </w:r>
    </w:p>
    <w:p w14:paraId="50790291" w14:textId="77777777" w:rsidR="00105794" w:rsidRPr="00133A50" w:rsidRDefault="00105794" w:rsidP="00105794">
      <w:pPr>
        <w:rPr>
          <w:lang w:val="uk-UA"/>
        </w:rPr>
      </w:pPr>
    </w:p>
    <w:p w14:paraId="50790292" w14:textId="77777777" w:rsidR="00D53429" w:rsidRPr="00133A50" w:rsidRDefault="00D53429" w:rsidP="00105794">
      <w:pPr>
        <w:tabs>
          <w:tab w:val="left" w:pos="6761"/>
        </w:tabs>
        <w:rPr>
          <w:lang w:val="uk-UA"/>
        </w:rPr>
      </w:pPr>
    </w:p>
    <w:sectPr w:rsidR="00D53429" w:rsidRPr="00133A50" w:rsidSect="00AD54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6EAE"/>
    <w:multiLevelType w:val="hybridMultilevel"/>
    <w:tmpl w:val="3FF29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0082E"/>
    <w:multiLevelType w:val="hybridMultilevel"/>
    <w:tmpl w:val="78A842A2"/>
    <w:lvl w:ilvl="0" w:tplc="2884BD86">
      <w:start w:val="31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5"/>
    <w:rsid w:val="00000260"/>
    <w:rsid w:val="00011A1C"/>
    <w:rsid w:val="000129E7"/>
    <w:rsid w:val="00012CD8"/>
    <w:rsid w:val="000208F0"/>
    <w:rsid w:val="000243B6"/>
    <w:rsid w:val="00032C54"/>
    <w:rsid w:val="00040348"/>
    <w:rsid w:val="000406E9"/>
    <w:rsid w:val="00056D26"/>
    <w:rsid w:val="00060BEC"/>
    <w:rsid w:val="00067251"/>
    <w:rsid w:val="00074ED6"/>
    <w:rsid w:val="00080A02"/>
    <w:rsid w:val="00082A75"/>
    <w:rsid w:val="00083507"/>
    <w:rsid w:val="00087914"/>
    <w:rsid w:val="000A219B"/>
    <w:rsid w:val="000A664B"/>
    <w:rsid w:val="000B1D80"/>
    <w:rsid w:val="000B24EC"/>
    <w:rsid w:val="000B56B8"/>
    <w:rsid w:val="000B747D"/>
    <w:rsid w:val="000C14AB"/>
    <w:rsid w:val="000C257A"/>
    <w:rsid w:val="000C5CCE"/>
    <w:rsid w:val="000C7CEF"/>
    <w:rsid w:val="000E29BE"/>
    <w:rsid w:val="000E497A"/>
    <w:rsid w:val="000F4CED"/>
    <w:rsid w:val="000F4FC6"/>
    <w:rsid w:val="000F61A8"/>
    <w:rsid w:val="00105794"/>
    <w:rsid w:val="001246C1"/>
    <w:rsid w:val="0012690C"/>
    <w:rsid w:val="0013199A"/>
    <w:rsid w:val="00133A50"/>
    <w:rsid w:val="00136933"/>
    <w:rsid w:val="00137684"/>
    <w:rsid w:val="00153178"/>
    <w:rsid w:val="00162F34"/>
    <w:rsid w:val="001641F0"/>
    <w:rsid w:val="00170E48"/>
    <w:rsid w:val="001749C4"/>
    <w:rsid w:val="00175723"/>
    <w:rsid w:val="00176263"/>
    <w:rsid w:val="00183653"/>
    <w:rsid w:val="00194663"/>
    <w:rsid w:val="001F2F63"/>
    <w:rsid w:val="001F7834"/>
    <w:rsid w:val="00200FF5"/>
    <w:rsid w:val="00203946"/>
    <w:rsid w:val="002041AD"/>
    <w:rsid w:val="002073F9"/>
    <w:rsid w:val="002112AC"/>
    <w:rsid w:val="00212207"/>
    <w:rsid w:val="002125BE"/>
    <w:rsid w:val="0021412F"/>
    <w:rsid w:val="00220B91"/>
    <w:rsid w:val="00226BB6"/>
    <w:rsid w:val="002366F7"/>
    <w:rsid w:val="00244FD4"/>
    <w:rsid w:val="00251442"/>
    <w:rsid w:val="00271FF5"/>
    <w:rsid w:val="002856FC"/>
    <w:rsid w:val="00290C3B"/>
    <w:rsid w:val="00294205"/>
    <w:rsid w:val="002958A1"/>
    <w:rsid w:val="002959A6"/>
    <w:rsid w:val="00296FFF"/>
    <w:rsid w:val="00297096"/>
    <w:rsid w:val="002A4511"/>
    <w:rsid w:val="002A71DD"/>
    <w:rsid w:val="002B1D74"/>
    <w:rsid w:val="002C5021"/>
    <w:rsid w:val="002C6A13"/>
    <w:rsid w:val="002D519E"/>
    <w:rsid w:val="002F231A"/>
    <w:rsid w:val="00304A5F"/>
    <w:rsid w:val="00305B6F"/>
    <w:rsid w:val="003100F2"/>
    <w:rsid w:val="003117D5"/>
    <w:rsid w:val="00314B6E"/>
    <w:rsid w:val="00314BE8"/>
    <w:rsid w:val="003262EA"/>
    <w:rsid w:val="00330BD7"/>
    <w:rsid w:val="003359D1"/>
    <w:rsid w:val="003374ED"/>
    <w:rsid w:val="003505EB"/>
    <w:rsid w:val="00352EA1"/>
    <w:rsid w:val="00353870"/>
    <w:rsid w:val="00353CE8"/>
    <w:rsid w:val="00353F73"/>
    <w:rsid w:val="003541E3"/>
    <w:rsid w:val="00355E0D"/>
    <w:rsid w:val="00360136"/>
    <w:rsid w:val="003626C6"/>
    <w:rsid w:val="00362B27"/>
    <w:rsid w:val="00371583"/>
    <w:rsid w:val="00373401"/>
    <w:rsid w:val="00377F2E"/>
    <w:rsid w:val="0038115C"/>
    <w:rsid w:val="003822D7"/>
    <w:rsid w:val="00384ADD"/>
    <w:rsid w:val="003873AE"/>
    <w:rsid w:val="00390058"/>
    <w:rsid w:val="003946AB"/>
    <w:rsid w:val="00396AAD"/>
    <w:rsid w:val="00397652"/>
    <w:rsid w:val="003B2584"/>
    <w:rsid w:val="003B4A70"/>
    <w:rsid w:val="003B73CE"/>
    <w:rsid w:val="003C0316"/>
    <w:rsid w:val="003C3BD4"/>
    <w:rsid w:val="003C4878"/>
    <w:rsid w:val="003F23DE"/>
    <w:rsid w:val="003F26F9"/>
    <w:rsid w:val="004015B2"/>
    <w:rsid w:val="00402D08"/>
    <w:rsid w:val="00411CE8"/>
    <w:rsid w:val="00417813"/>
    <w:rsid w:val="004331C7"/>
    <w:rsid w:val="00434990"/>
    <w:rsid w:val="00442F89"/>
    <w:rsid w:val="0044733B"/>
    <w:rsid w:val="00447CD0"/>
    <w:rsid w:val="00447F5F"/>
    <w:rsid w:val="0045523E"/>
    <w:rsid w:val="004669C9"/>
    <w:rsid w:val="004730CD"/>
    <w:rsid w:val="00481699"/>
    <w:rsid w:val="004846FC"/>
    <w:rsid w:val="00490EFF"/>
    <w:rsid w:val="00490F41"/>
    <w:rsid w:val="00491836"/>
    <w:rsid w:val="004926BA"/>
    <w:rsid w:val="004A16E6"/>
    <w:rsid w:val="004B07EC"/>
    <w:rsid w:val="004B16AA"/>
    <w:rsid w:val="004B493C"/>
    <w:rsid w:val="004B69B3"/>
    <w:rsid w:val="004B6B36"/>
    <w:rsid w:val="004C5ECA"/>
    <w:rsid w:val="004C620A"/>
    <w:rsid w:val="004C64C9"/>
    <w:rsid w:val="004D21ED"/>
    <w:rsid w:val="004D303A"/>
    <w:rsid w:val="004D390F"/>
    <w:rsid w:val="004D3EA8"/>
    <w:rsid w:val="004D5886"/>
    <w:rsid w:val="004E2381"/>
    <w:rsid w:val="004E260F"/>
    <w:rsid w:val="004E3EFA"/>
    <w:rsid w:val="004E72E0"/>
    <w:rsid w:val="004F1CBE"/>
    <w:rsid w:val="004F71B9"/>
    <w:rsid w:val="00517CF2"/>
    <w:rsid w:val="00520103"/>
    <w:rsid w:val="00520AE6"/>
    <w:rsid w:val="00534C7F"/>
    <w:rsid w:val="00540C3C"/>
    <w:rsid w:val="005521C8"/>
    <w:rsid w:val="005561B9"/>
    <w:rsid w:val="00561BDB"/>
    <w:rsid w:val="00563443"/>
    <w:rsid w:val="00565B20"/>
    <w:rsid w:val="00566185"/>
    <w:rsid w:val="00581E03"/>
    <w:rsid w:val="005860CD"/>
    <w:rsid w:val="00587CF6"/>
    <w:rsid w:val="00587D33"/>
    <w:rsid w:val="00592239"/>
    <w:rsid w:val="0059701A"/>
    <w:rsid w:val="005A175F"/>
    <w:rsid w:val="005A4AD5"/>
    <w:rsid w:val="005A5819"/>
    <w:rsid w:val="005C3447"/>
    <w:rsid w:val="005D2ED2"/>
    <w:rsid w:val="005F3183"/>
    <w:rsid w:val="00601D9C"/>
    <w:rsid w:val="00617D2A"/>
    <w:rsid w:val="00632C8B"/>
    <w:rsid w:val="006333DB"/>
    <w:rsid w:val="006352BF"/>
    <w:rsid w:val="0063737D"/>
    <w:rsid w:val="006513C6"/>
    <w:rsid w:val="006514F5"/>
    <w:rsid w:val="006618DD"/>
    <w:rsid w:val="00663A7E"/>
    <w:rsid w:val="00664FEA"/>
    <w:rsid w:val="0066569F"/>
    <w:rsid w:val="00670539"/>
    <w:rsid w:val="00671F57"/>
    <w:rsid w:val="00672BF8"/>
    <w:rsid w:val="006731B1"/>
    <w:rsid w:val="00673756"/>
    <w:rsid w:val="006761AF"/>
    <w:rsid w:val="006853DE"/>
    <w:rsid w:val="00686711"/>
    <w:rsid w:val="00692A5D"/>
    <w:rsid w:val="00694884"/>
    <w:rsid w:val="00695958"/>
    <w:rsid w:val="006A3A60"/>
    <w:rsid w:val="006A4385"/>
    <w:rsid w:val="006C5932"/>
    <w:rsid w:val="006C689B"/>
    <w:rsid w:val="006D37EE"/>
    <w:rsid w:val="006E4449"/>
    <w:rsid w:val="006E4931"/>
    <w:rsid w:val="006E4962"/>
    <w:rsid w:val="006E7E08"/>
    <w:rsid w:val="006F36AB"/>
    <w:rsid w:val="006F3E35"/>
    <w:rsid w:val="006F4A23"/>
    <w:rsid w:val="006F727B"/>
    <w:rsid w:val="00705820"/>
    <w:rsid w:val="00705DC5"/>
    <w:rsid w:val="00705DDF"/>
    <w:rsid w:val="00721ED2"/>
    <w:rsid w:val="00721FE6"/>
    <w:rsid w:val="00730BD9"/>
    <w:rsid w:val="0074361B"/>
    <w:rsid w:val="00745C3C"/>
    <w:rsid w:val="00750DA3"/>
    <w:rsid w:val="00751DAB"/>
    <w:rsid w:val="00767074"/>
    <w:rsid w:val="007704C8"/>
    <w:rsid w:val="00772B51"/>
    <w:rsid w:val="00775237"/>
    <w:rsid w:val="00775D96"/>
    <w:rsid w:val="00777B47"/>
    <w:rsid w:val="00777D3B"/>
    <w:rsid w:val="00782133"/>
    <w:rsid w:val="007858D7"/>
    <w:rsid w:val="007865AD"/>
    <w:rsid w:val="0079586E"/>
    <w:rsid w:val="0079636D"/>
    <w:rsid w:val="007A04F1"/>
    <w:rsid w:val="007B3EC1"/>
    <w:rsid w:val="007D4404"/>
    <w:rsid w:val="007F33DC"/>
    <w:rsid w:val="007F34BA"/>
    <w:rsid w:val="00802706"/>
    <w:rsid w:val="00802CD1"/>
    <w:rsid w:val="00807A2A"/>
    <w:rsid w:val="00811D61"/>
    <w:rsid w:val="0081348E"/>
    <w:rsid w:val="0081529A"/>
    <w:rsid w:val="0082390A"/>
    <w:rsid w:val="00824CC2"/>
    <w:rsid w:val="00836C56"/>
    <w:rsid w:val="00837402"/>
    <w:rsid w:val="00844104"/>
    <w:rsid w:val="008445A2"/>
    <w:rsid w:val="00847FA5"/>
    <w:rsid w:val="00847FE6"/>
    <w:rsid w:val="00852BFB"/>
    <w:rsid w:val="0085316C"/>
    <w:rsid w:val="00854F09"/>
    <w:rsid w:val="0085732F"/>
    <w:rsid w:val="00860E2C"/>
    <w:rsid w:val="00867D89"/>
    <w:rsid w:val="008772B5"/>
    <w:rsid w:val="008835F2"/>
    <w:rsid w:val="008844D0"/>
    <w:rsid w:val="0088508E"/>
    <w:rsid w:val="0089251C"/>
    <w:rsid w:val="00893FBC"/>
    <w:rsid w:val="008945AD"/>
    <w:rsid w:val="008A2129"/>
    <w:rsid w:val="008A3582"/>
    <w:rsid w:val="008A484D"/>
    <w:rsid w:val="008A551D"/>
    <w:rsid w:val="008A7C9E"/>
    <w:rsid w:val="008C0141"/>
    <w:rsid w:val="008C23C2"/>
    <w:rsid w:val="008C258E"/>
    <w:rsid w:val="008C5425"/>
    <w:rsid w:val="008C5495"/>
    <w:rsid w:val="008D132D"/>
    <w:rsid w:val="008D3044"/>
    <w:rsid w:val="008D3433"/>
    <w:rsid w:val="008F5946"/>
    <w:rsid w:val="008F7F03"/>
    <w:rsid w:val="00900672"/>
    <w:rsid w:val="009028D2"/>
    <w:rsid w:val="009044FB"/>
    <w:rsid w:val="00905197"/>
    <w:rsid w:val="00906D13"/>
    <w:rsid w:val="009165FA"/>
    <w:rsid w:val="00922DD2"/>
    <w:rsid w:val="00926D4C"/>
    <w:rsid w:val="00941FDA"/>
    <w:rsid w:val="009422E6"/>
    <w:rsid w:val="00947A5B"/>
    <w:rsid w:val="00951135"/>
    <w:rsid w:val="00954EE4"/>
    <w:rsid w:val="0095645C"/>
    <w:rsid w:val="00965015"/>
    <w:rsid w:val="00967CD3"/>
    <w:rsid w:val="00977937"/>
    <w:rsid w:val="0098585C"/>
    <w:rsid w:val="00992F5E"/>
    <w:rsid w:val="00995933"/>
    <w:rsid w:val="009A234C"/>
    <w:rsid w:val="009A3EC8"/>
    <w:rsid w:val="009A7913"/>
    <w:rsid w:val="009B212F"/>
    <w:rsid w:val="009B72DE"/>
    <w:rsid w:val="009C55CD"/>
    <w:rsid w:val="009C7759"/>
    <w:rsid w:val="009D2054"/>
    <w:rsid w:val="009D6253"/>
    <w:rsid w:val="009D7074"/>
    <w:rsid w:val="009F0B1C"/>
    <w:rsid w:val="009F29D5"/>
    <w:rsid w:val="00A005F3"/>
    <w:rsid w:val="00A01114"/>
    <w:rsid w:val="00A11630"/>
    <w:rsid w:val="00A174C3"/>
    <w:rsid w:val="00A25224"/>
    <w:rsid w:val="00A31001"/>
    <w:rsid w:val="00A36118"/>
    <w:rsid w:val="00A4403D"/>
    <w:rsid w:val="00A67BB0"/>
    <w:rsid w:val="00A67F23"/>
    <w:rsid w:val="00A7574A"/>
    <w:rsid w:val="00A854D1"/>
    <w:rsid w:val="00AB77C2"/>
    <w:rsid w:val="00AC07F7"/>
    <w:rsid w:val="00AC0A6D"/>
    <w:rsid w:val="00AC22A0"/>
    <w:rsid w:val="00AC2C1E"/>
    <w:rsid w:val="00AC3499"/>
    <w:rsid w:val="00AD05E5"/>
    <w:rsid w:val="00AD43CE"/>
    <w:rsid w:val="00AD54D1"/>
    <w:rsid w:val="00AD5CCA"/>
    <w:rsid w:val="00AD5EBC"/>
    <w:rsid w:val="00AF115D"/>
    <w:rsid w:val="00AF3C09"/>
    <w:rsid w:val="00AF4079"/>
    <w:rsid w:val="00AF472F"/>
    <w:rsid w:val="00AF593A"/>
    <w:rsid w:val="00B05839"/>
    <w:rsid w:val="00B133CC"/>
    <w:rsid w:val="00B140A2"/>
    <w:rsid w:val="00B145C2"/>
    <w:rsid w:val="00B1694A"/>
    <w:rsid w:val="00B3385B"/>
    <w:rsid w:val="00B40455"/>
    <w:rsid w:val="00B416DA"/>
    <w:rsid w:val="00B45CB8"/>
    <w:rsid w:val="00B4669E"/>
    <w:rsid w:val="00B52EB4"/>
    <w:rsid w:val="00B54565"/>
    <w:rsid w:val="00B54EB7"/>
    <w:rsid w:val="00B55FF5"/>
    <w:rsid w:val="00B64DF4"/>
    <w:rsid w:val="00B663C0"/>
    <w:rsid w:val="00B67D9D"/>
    <w:rsid w:val="00B74D3E"/>
    <w:rsid w:val="00B81106"/>
    <w:rsid w:val="00B86F16"/>
    <w:rsid w:val="00B91A24"/>
    <w:rsid w:val="00B971BC"/>
    <w:rsid w:val="00B97802"/>
    <w:rsid w:val="00BA1C14"/>
    <w:rsid w:val="00BB4BEF"/>
    <w:rsid w:val="00BC4D0A"/>
    <w:rsid w:val="00BD0F02"/>
    <w:rsid w:val="00BD1586"/>
    <w:rsid w:val="00BE43C2"/>
    <w:rsid w:val="00BE7E30"/>
    <w:rsid w:val="00BF3AFD"/>
    <w:rsid w:val="00BF43CA"/>
    <w:rsid w:val="00C25D9A"/>
    <w:rsid w:val="00C30BA1"/>
    <w:rsid w:val="00C35690"/>
    <w:rsid w:val="00C52045"/>
    <w:rsid w:val="00C52323"/>
    <w:rsid w:val="00C76072"/>
    <w:rsid w:val="00CA1C86"/>
    <w:rsid w:val="00CA2265"/>
    <w:rsid w:val="00CA2F43"/>
    <w:rsid w:val="00CA369C"/>
    <w:rsid w:val="00CB3A52"/>
    <w:rsid w:val="00CD259E"/>
    <w:rsid w:val="00CE6257"/>
    <w:rsid w:val="00CF360E"/>
    <w:rsid w:val="00CF6D53"/>
    <w:rsid w:val="00CF701F"/>
    <w:rsid w:val="00D02499"/>
    <w:rsid w:val="00D056D1"/>
    <w:rsid w:val="00D05FFA"/>
    <w:rsid w:val="00D0743D"/>
    <w:rsid w:val="00D11405"/>
    <w:rsid w:val="00D125F1"/>
    <w:rsid w:val="00D13079"/>
    <w:rsid w:val="00D15B1C"/>
    <w:rsid w:val="00D2293B"/>
    <w:rsid w:val="00D229F4"/>
    <w:rsid w:val="00D35142"/>
    <w:rsid w:val="00D4494C"/>
    <w:rsid w:val="00D47EE7"/>
    <w:rsid w:val="00D53429"/>
    <w:rsid w:val="00D72007"/>
    <w:rsid w:val="00D7284D"/>
    <w:rsid w:val="00D77447"/>
    <w:rsid w:val="00D81886"/>
    <w:rsid w:val="00D90166"/>
    <w:rsid w:val="00D9187C"/>
    <w:rsid w:val="00D91C0D"/>
    <w:rsid w:val="00D966FC"/>
    <w:rsid w:val="00DA00F2"/>
    <w:rsid w:val="00DB4E64"/>
    <w:rsid w:val="00DC1296"/>
    <w:rsid w:val="00DC3547"/>
    <w:rsid w:val="00DD0493"/>
    <w:rsid w:val="00DF2874"/>
    <w:rsid w:val="00DF4BF1"/>
    <w:rsid w:val="00DF5D3F"/>
    <w:rsid w:val="00DF7431"/>
    <w:rsid w:val="00E003BF"/>
    <w:rsid w:val="00E016A7"/>
    <w:rsid w:val="00E04EF1"/>
    <w:rsid w:val="00E077C6"/>
    <w:rsid w:val="00E1173A"/>
    <w:rsid w:val="00E153C2"/>
    <w:rsid w:val="00E20A6D"/>
    <w:rsid w:val="00E22F94"/>
    <w:rsid w:val="00E34829"/>
    <w:rsid w:val="00E34A7C"/>
    <w:rsid w:val="00E37386"/>
    <w:rsid w:val="00E41DE6"/>
    <w:rsid w:val="00E473F2"/>
    <w:rsid w:val="00E56793"/>
    <w:rsid w:val="00E64B20"/>
    <w:rsid w:val="00E67573"/>
    <w:rsid w:val="00E72603"/>
    <w:rsid w:val="00E9274E"/>
    <w:rsid w:val="00E96FEF"/>
    <w:rsid w:val="00EA27D9"/>
    <w:rsid w:val="00EA3713"/>
    <w:rsid w:val="00EB28BB"/>
    <w:rsid w:val="00ED0E50"/>
    <w:rsid w:val="00ED269D"/>
    <w:rsid w:val="00ED78B7"/>
    <w:rsid w:val="00EE2EA2"/>
    <w:rsid w:val="00EF1849"/>
    <w:rsid w:val="00EF6972"/>
    <w:rsid w:val="00EF6EC0"/>
    <w:rsid w:val="00F01875"/>
    <w:rsid w:val="00F0590A"/>
    <w:rsid w:val="00F25D3B"/>
    <w:rsid w:val="00F44738"/>
    <w:rsid w:val="00F459D2"/>
    <w:rsid w:val="00F708A5"/>
    <w:rsid w:val="00F74F4D"/>
    <w:rsid w:val="00F75F45"/>
    <w:rsid w:val="00FA7AB5"/>
    <w:rsid w:val="00FB1635"/>
    <w:rsid w:val="00FB33C5"/>
    <w:rsid w:val="00FB5287"/>
    <w:rsid w:val="00FD09FE"/>
    <w:rsid w:val="00FD77B8"/>
    <w:rsid w:val="00FE3547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90202"/>
  <w15:docId w15:val="{E8F2907F-E93E-4BA5-844A-AB522D46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72B5"/>
    <w:pPr>
      <w:ind w:firstLine="709"/>
      <w:jc w:val="center"/>
    </w:pPr>
    <w:rPr>
      <w:b/>
      <w:sz w:val="28"/>
      <w:szCs w:val="20"/>
      <w:lang w:val="uk-UA"/>
    </w:rPr>
  </w:style>
  <w:style w:type="table" w:styleId="TableGrid">
    <w:name w:val="Table Grid"/>
    <w:basedOn w:val="TableNormal"/>
    <w:rsid w:val="0087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Динаміка надходжень єдиного податку за 2022-2024</a:t>
            </a:r>
            <a:r>
              <a:rPr lang="ru-RU" sz="1400" baseline="0"/>
              <a:t> </a:t>
            </a:r>
            <a:r>
              <a:rPr lang="ru-RU" sz="1400"/>
              <a:t>р.р.  млн.грн.</a:t>
            </a:r>
          </a:p>
        </c:rich>
      </c:tx>
      <c:layout>
        <c:manualLayout>
          <c:xMode val="edge"/>
          <c:yMode val="edge"/>
          <c:x val="0.14137863296337019"/>
          <c:y val="2.215093741778791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rgbClr val="92D050">
                    <a:shade val="30000"/>
                    <a:satMod val="115000"/>
                  </a:srgbClr>
                </a:gs>
                <a:gs pos="50000">
                  <a:srgbClr val="92D050">
                    <a:shade val="67500"/>
                    <a:satMod val="115000"/>
                  </a:srgbClr>
                </a:gs>
                <a:gs pos="100000">
                  <a:srgbClr val="92D050">
                    <a:shade val="100000"/>
                    <a:satMod val="115000"/>
                  </a:srgbClr>
                </a:gs>
              </a:gsLst>
              <a:lin ang="0" scaled="1"/>
              <a:tileRect/>
            </a:gra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рік</c:v>
                </c:pt>
                <c:pt idx="1">
                  <c:v>2023 рік</c:v>
                </c:pt>
                <c:pt idx="2">
                  <c:v>2024 рік (Очікувані)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64.599999999999994</c:v>
                </c:pt>
                <c:pt idx="1">
                  <c:v>83.3</c:v>
                </c:pt>
                <c:pt idx="2" formatCode="#\ ##0.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D4-437F-9F5D-1F6676A36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228096"/>
        <c:axId val="446229664"/>
        <c:axId val="0"/>
      </c:bar3DChart>
      <c:catAx>
        <c:axId val="4462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uk-UA"/>
          </a:p>
        </c:txPr>
        <c:crossAx val="446229664"/>
        <c:crosses val="autoZero"/>
        <c:auto val="1"/>
        <c:lblAlgn val="ctr"/>
        <c:lblOffset val="100"/>
        <c:noMultiLvlLbl val="0"/>
      </c:catAx>
      <c:valAx>
        <c:axId val="44622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uk-UA"/>
          </a:p>
        </c:txPr>
        <c:crossAx val="44622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0.28502</cdr:x>
      <cdr:y>0.34281</cdr:y>
    </cdr:from>
    <cdr:to>
      <cdr:x>0.46909</cdr:x>
      <cdr:y>0.43936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V="1">
          <a:off x="1619091" y="1179185"/>
          <a:ext cx="1045649" cy="33211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0.56503</cdr:x>
      <cdr:y>0.24244</cdr:y>
    </cdr:from>
    <cdr:to>
      <cdr:x>0.74062</cdr:x>
      <cdr:y>0.3322</cdr:y>
    </cdr:to>
    <cdr:sp macro="" textlink="">
      <cdr:nvSpPr>
        <cdr:cNvPr id="13" name="Прямая со стрелкой 12"/>
        <cdr:cNvSpPr/>
      </cdr:nvSpPr>
      <cdr:spPr>
        <a:xfrm xmlns:a="http://schemas.openxmlformats.org/drawingml/2006/main" flipV="1">
          <a:off x="3209793" y="833947"/>
          <a:ext cx="997476" cy="3087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0.52021</cdr:x>
      <cdr:y>0.2134</cdr:y>
    </cdr:from>
    <cdr:to>
      <cdr:x>0.69728</cdr:x>
      <cdr:y>0.31839</cdr:y>
    </cdr:to>
    <cdr:sp macro="" textlink="">
      <cdr:nvSpPr>
        <cdr:cNvPr id="15" name="TextBox 1"/>
        <cdr:cNvSpPr txBox="1"/>
      </cdr:nvSpPr>
      <cdr:spPr>
        <a:xfrm xmlns:a="http://schemas.openxmlformats.org/drawingml/2006/main" rot="20634500">
          <a:off x="2955159" y="734047"/>
          <a:ext cx="1005883" cy="3611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/>
            <a:t>+  10,7 млн.грн.</a:t>
          </a:r>
        </a:p>
      </cdr:txBody>
    </cdr:sp>
  </cdr:relSizeAnchor>
  <cdr:relSizeAnchor xmlns:cdr="http://schemas.openxmlformats.org/drawingml/2006/chartDrawing">
    <cdr:from>
      <cdr:x>0.25518</cdr:x>
      <cdr:y>0.31975</cdr:y>
    </cdr:from>
    <cdr:to>
      <cdr:x>0.43709</cdr:x>
      <cdr:y>0.41581</cdr:y>
    </cdr:to>
    <cdr:sp macro="" textlink="">
      <cdr:nvSpPr>
        <cdr:cNvPr id="16" name="TextBox 1"/>
        <cdr:cNvSpPr txBox="1"/>
      </cdr:nvSpPr>
      <cdr:spPr>
        <a:xfrm xmlns:a="http://schemas.openxmlformats.org/drawingml/2006/main" rot="20491564">
          <a:off x="1449593" y="1099863"/>
          <a:ext cx="1033378" cy="3304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/>
            <a:t>+  18,7</a:t>
          </a:r>
          <a:r>
            <a:rPr lang="ru-RU" sz="1100" b="1" baseline="0"/>
            <a:t> </a:t>
          </a:r>
          <a:r>
            <a:rPr lang="ru-RU" sz="1100" b="1"/>
            <a:t>млн.грн.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</vt:lpstr>
      <vt:lpstr>ЗВІТ</vt:lpstr>
    </vt:vector>
  </TitlesOfParts>
  <Company>Grizli777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kivanova</dc:creator>
  <cp:lastModifiedBy>HawkPC</cp:lastModifiedBy>
  <cp:revision>3</cp:revision>
  <cp:lastPrinted>2025-01-08T12:11:00Z</cp:lastPrinted>
  <dcterms:created xsi:type="dcterms:W3CDTF">2025-01-09T11:25:00Z</dcterms:created>
  <dcterms:modified xsi:type="dcterms:W3CDTF">2025-01-09T11:33:00Z</dcterms:modified>
</cp:coreProperties>
</file>