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5F" w:rsidRDefault="005A175F" w:rsidP="008772B5">
      <w:pPr>
        <w:pStyle w:val="a3"/>
        <w:tabs>
          <w:tab w:val="left" w:pos="6761"/>
        </w:tabs>
        <w:ind w:firstLine="0"/>
        <w:rPr>
          <w:sz w:val="24"/>
          <w:szCs w:val="24"/>
        </w:rPr>
      </w:pPr>
    </w:p>
    <w:p w:rsidR="005A175F" w:rsidRPr="00296D06" w:rsidRDefault="008772B5" w:rsidP="00296D06">
      <w:pPr>
        <w:pStyle w:val="a3"/>
        <w:tabs>
          <w:tab w:val="left" w:pos="6761"/>
        </w:tabs>
        <w:ind w:firstLine="0"/>
        <w:rPr>
          <w:szCs w:val="28"/>
        </w:rPr>
      </w:pPr>
      <w:r w:rsidRPr="00296D06">
        <w:rPr>
          <w:szCs w:val="28"/>
        </w:rPr>
        <w:t>ЗВІТ</w:t>
      </w:r>
    </w:p>
    <w:p w:rsidR="008772B5" w:rsidRPr="00296D06" w:rsidRDefault="008772B5" w:rsidP="008772B5">
      <w:pPr>
        <w:pStyle w:val="a3"/>
        <w:tabs>
          <w:tab w:val="left" w:pos="6761"/>
        </w:tabs>
        <w:ind w:firstLine="0"/>
        <w:rPr>
          <w:szCs w:val="28"/>
        </w:rPr>
      </w:pPr>
      <w:r w:rsidRPr="00296D06">
        <w:rPr>
          <w:szCs w:val="28"/>
        </w:rPr>
        <w:t xml:space="preserve">про </w:t>
      </w:r>
      <w:proofErr w:type="spellStart"/>
      <w:r w:rsidR="00DF7E8A" w:rsidRPr="00296D06">
        <w:rPr>
          <w:szCs w:val="28"/>
          <w:lang w:val="ru-RU"/>
        </w:rPr>
        <w:t>періодич</w:t>
      </w:r>
      <w:r w:rsidR="002E3AE9" w:rsidRPr="00296D06">
        <w:rPr>
          <w:szCs w:val="28"/>
          <w:lang w:val="ru-RU"/>
        </w:rPr>
        <w:t>не</w:t>
      </w:r>
      <w:proofErr w:type="spellEnd"/>
      <w:r w:rsidR="006761AF" w:rsidRPr="00296D06">
        <w:rPr>
          <w:szCs w:val="28"/>
        </w:rPr>
        <w:t xml:space="preserve"> </w:t>
      </w:r>
      <w:r w:rsidRPr="00296D06">
        <w:rPr>
          <w:szCs w:val="28"/>
        </w:rPr>
        <w:t xml:space="preserve">відстеження результативності регуляторного </w:t>
      </w:r>
      <w:proofErr w:type="spellStart"/>
      <w:r w:rsidRPr="00296D06">
        <w:rPr>
          <w:szCs w:val="28"/>
        </w:rPr>
        <w:t>акта</w:t>
      </w:r>
      <w:proofErr w:type="spellEnd"/>
      <w:r w:rsidRPr="00296D06">
        <w:rPr>
          <w:szCs w:val="28"/>
        </w:rPr>
        <w:t xml:space="preserve"> –</w:t>
      </w:r>
    </w:p>
    <w:p w:rsidR="006761AF" w:rsidRPr="00296D06" w:rsidRDefault="008772B5" w:rsidP="008772B5">
      <w:pPr>
        <w:jc w:val="center"/>
        <w:rPr>
          <w:sz w:val="28"/>
          <w:szCs w:val="28"/>
          <w:lang w:val="uk-UA"/>
        </w:rPr>
      </w:pPr>
      <w:r w:rsidRPr="00296D06">
        <w:rPr>
          <w:sz w:val="28"/>
          <w:szCs w:val="28"/>
          <w:lang w:val="uk-UA"/>
        </w:rPr>
        <w:t xml:space="preserve">рішення </w:t>
      </w:r>
      <w:r w:rsidR="00C552C8" w:rsidRPr="00296D06">
        <w:rPr>
          <w:sz w:val="28"/>
          <w:szCs w:val="28"/>
        </w:rPr>
        <w:t>Чорноморської</w:t>
      </w:r>
      <w:r w:rsidR="004E72E0" w:rsidRPr="00296D06">
        <w:rPr>
          <w:sz w:val="28"/>
          <w:szCs w:val="28"/>
          <w:lang w:val="uk-UA"/>
        </w:rPr>
        <w:t xml:space="preserve"> міської ради </w:t>
      </w:r>
      <w:r w:rsidR="005227C9">
        <w:rPr>
          <w:sz w:val="28"/>
          <w:szCs w:val="28"/>
          <w:lang w:val="uk-UA"/>
        </w:rPr>
        <w:t>Одеського району Одеської області</w:t>
      </w:r>
    </w:p>
    <w:p w:rsidR="008772B5" w:rsidRPr="00296D06" w:rsidRDefault="008772B5" w:rsidP="008772B5">
      <w:pPr>
        <w:jc w:val="center"/>
        <w:rPr>
          <w:sz w:val="28"/>
          <w:szCs w:val="28"/>
          <w:lang w:val="uk-UA"/>
        </w:rPr>
      </w:pPr>
      <w:r w:rsidRPr="00296D06">
        <w:rPr>
          <w:sz w:val="28"/>
          <w:szCs w:val="28"/>
          <w:lang w:val="uk-UA"/>
        </w:rPr>
        <w:t xml:space="preserve">«Про </w:t>
      </w:r>
      <w:r w:rsidR="006761AF" w:rsidRPr="00296D06">
        <w:rPr>
          <w:sz w:val="28"/>
          <w:szCs w:val="28"/>
          <w:lang w:val="uk-UA"/>
        </w:rPr>
        <w:t xml:space="preserve">затвердження Положення про </w:t>
      </w:r>
      <w:r w:rsidR="00C552C8" w:rsidRPr="00296D06">
        <w:rPr>
          <w:sz w:val="28"/>
          <w:szCs w:val="28"/>
          <w:lang w:val="uk-UA"/>
        </w:rPr>
        <w:t>туристичний збір на території Чорноморської</w:t>
      </w:r>
      <w:r w:rsidR="006761AF" w:rsidRPr="00296D06">
        <w:rPr>
          <w:sz w:val="28"/>
          <w:szCs w:val="28"/>
          <w:lang w:val="uk-UA"/>
        </w:rPr>
        <w:t xml:space="preserve"> міської ради</w:t>
      </w:r>
      <w:r w:rsidR="005227C9">
        <w:rPr>
          <w:sz w:val="28"/>
          <w:szCs w:val="28"/>
          <w:lang w:val="uk-UA"/>
        </w:rPr>
        <w:t xml:space="preserve"> </w:t>
      </w:r>
      <w:r w:rsidR="005227C9" w:rsidRPr="00C52323">
        <w:rPr>
          <w:rFonts w:eastAsia="Courier New" w:cs="Courier New"/>
          <w:color w:val="000000"/>
          <w:sz w:val="28"/>
          <w:szCs w:val="28"/>
          <w:lang w:val="uk-UA" w:eastAsia="uk-UA" w:bidi="uk-UA"/>
        </w:rPr>
        <w:t>Одеського району Одеської області</w:t>
      </w:r>
      <w:r w:rsidR="006761AF" w:rsidRPr="00296D06">
        <w:rPr>
          <w:sz w:val="28"/>
          <w:szCs w:val="28"/>
          <w:lang w:val="uk-UA"/>
        </w:rPr>
        <w:t>»</w:t>
      </w:r>
    </w:p>
    <w:p w:rsidR="008772B5" w:rsidRPr="00027DCF" w:rsidRDefault="008772B5" w:rsidP="008772B5">
      <w:pPr>
        <w:pStyle w:val="a3"/>
        <w:tabs>
          <w:tab w:val="left" w:pos="6761"/>
        </w:tabs>
        <w:ind w:firstLine="0"/>
        <w:rPr>
          <w:b w:val="0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5292"/>
      </w:tblGrid>
      <w:tr w:rsidR="008772B5" w:rsidRPr="00FC76E0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C708C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C708C2">
            <w:pPr>
              <w:pStyle w:val="a3"/>
              <w:tabs>
                <w:tab w:val="left" w:pos="6761"/>
              </w:tabs>
              <w:ind w:firstLine="0"/>
              <w:jc w:val="left"/>
              <w:rPr>
                <w:sz w:val="24"/>
                <w:szCs w:val="24"/>
              </w:rPr>
            </w:pPr>
            <w:r w:rsidRPr="00C708C2">
              <w:rPr>
                <w:sz w:val="24"/>
                <w:szCs w:val="24"/>
              </w:rPr>
              <w:t>Вид та назва регуляторного акта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5F" w:rsidRDefault="00C552C8" w:rsidP="00C552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A005F3">
              <w:rPr>
                <w:lang w:val="uk-UA"/>
              </w:rPr>
              <w:t xml:space="preserve">ішення </w:t>
            </w:r>
            <w:r>
              <w:rPr>
                <w:lang w:val="uk-UA"/>
              </w:rPr>
              <w:t>Чорноморської міської ради</w:t>
            </w:r>
            <w:r w:rsidR="00FC76E0">
              <w:rPr>
                <w:lang w:val="uk-UA"/>
              </w:rPr>
              <w:t xml:space="preserve"> </w:t>
            </w:r>
            <w:r w:rsidR="00880419">
              <w:rPr>
                <w:lang w:val="uk-UA"/>
              </w:rPr>
              <w:t xml:space="preserve">Одеського району Одеської області </w:t>
            </w:r>
            <w:r w:rsidR="00FC76E0">
              <w:rPr>
                <w:lang w:val="uk-UA"/>
              </w:rPr>
              <w:t xml:space="preserve">від </w:t>
            </w:r>
            <w:r w:rsidR="00FC76E0" w:rsidRPr="00FC76E0">
              <w:rPr>
                <w:lang w:val="uk-UA"/>
              </w:rPr>
              <w:t xml:space="preserve">30.05.2014р. </w:t>
            </w:r>
            <w:r w:rsidR="00862BEC">
              <w:rPr>
                <w:lang w:val="uk-UA"/>
              </w:rPr>
              <w:t xml:space="preserve">                          </w:t>
            </w:r>
            <w:r w:rsidR="00FC76E0" w:rsidRPr="00FC76E0">
              <w:rPr>
                <w:lang w:val="uk-UA"/>
              </w:rPr>
              <w:t>№ 506 - VI</w:t>
            </w:r>
            <w:r>
              <w:rPr>
                <w:lang w:val="uk-UA"/>
              </w:rPr>
              <w:t xml:space="preserve"> «</w:t>
            </w:r>
            <w:r w:rsidRPr="00A005F3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затвердження Положення про туристичний збір на території Чорноморської міської ради</w:t>
            </w:r>
            <w:r w:rsidR="00FC76E0">
              <w:rPr>
                <w:lang w:val="uk-UA"/>
              </w:rPr>
              <w:t xml:space="preserve"> Одеського району Одеської області</w:t>
            </w:r>
            <w:r w:rsidR="00170078">
              <w:rPr>
                <w:lang w:val="uk-UA"/>
              </w:rPr>
              <w:t>»</w:t>
            </w:r>
          </w:p>
          <w:p w:rsidR="0071133A" w:rsidRDefault="0071133A" w:rsidP="0071133A">
            <w:pPr>
              <w:jc w:val="both"/>
              <w:rPr>
                <w:lang w:val="uk-UA"/>
              </w:rPr>
            </w:pPr>
            <w:r w:rsidRPr="00C708C2">
              <w:rPr>
                <w:lang w:val="uk-UA"/>
              </w:rPr>
              <w:t>(набрало чинності з 01 січня 201</w:t>
            </w:r>
            <w:r>
              <w:rPr>
                <w:lang w:val="uk-UA"/>
              </w:rPr>
              <w:t>5</w:t>
            </w:r>
            <w:r w:rsidRPr="00C708C2">
              <w:rPr>
                <w:lang w:val="uk-UA"/>
              </w:rPr>
              <w:t xml:space="preserve"> року)</w:t>
            </w:r>
          </w:p>
          <w:p w:rsidR="0034392A" w:rsidRPr="00C552C8" w:rsidRDefault="0034392A" w:rsidP="00C552C8">
            <w:pPr>
              <w:jc w:val="both"/>
              <w:rPr>
                <w:lang w:val="uk-UA"/>
              </w:rPr>
            </w:pPr>
          </w:p>
        </w:tc>
      </w:tr>
      <w:tr w:rsidR="008772B5" w:rsidRPr="002E3AE9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A32D68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8772B5" w:rsidRPr="00C708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C708C2">
              <w:rPr>
                <w:b/>
                <w:lang w:val="uk-UA"/>
              </w:rPr>
              <w:t>Назва виконавця заходів з відстеження результативності</w:t>
            </w:r>
          </w:p>
          <w:p w:rsidR="00290C3B" w:rsidRPr="00C708C2" w:rsidRDefault="00290C3B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290C3B" w:rsidP="004B488A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C708C2">
              <w:rPr>
                <w:b w:val="0"/>
                <w:sz w:val="24"/>
                <w:szCs w:val="24"/>
              </w:rPr>
              <w:t xml:space="preserve">Фінансове управління </w:t>
            </w:r>
            <w:r w:rsidR="004B488A">
              <w:rPr>
                <w:b w:val="0"/>
                <w:sz w:val="24"/>
                <w:szCs w:val="24"/>
              </w:rPr>
              <w:t>Чорноморської</w:t>
            </w:r>
            <w:r w:rsidRPr="00C708C2">
              <w:rPr>
                <w:b w:val="0"/>
                <w:sz w:val="24"/>
                <w:szCs w:val="24"/>
              </w:rPr>
              <w:t xml:space="preserve"> міської ради </w:t>
            </w:r>
            <w:r w:rsidR="00DF7E8A">
              <w:rPr>
                <w:b w:val="0"/>
                <w:sz w:val="24"/>
                <w:szCs w:val="24"/>
              </w:rPr>
              <w:t>Одеського району Одеської області</w:t>
            </w:r>
          </w:p>
        </w:tc>
      </w:tr>
      <w:tr w:rsidR="008772B5" w:rsidRPr="006761AF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A32D68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8772B5" w:rsidRPr="00C708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C708C2">
              <w:rPr>
                <w:b/>
                <w:lang w:val="uk-UA"/>
              </w:rPr>
              <w:t>Цілі прийняття акта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1" w:rsidRDefault="00DE4AB1" w:rsidP="00880419">
            <w:pPr>
              <w:ind w:left="-3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виконання </w:t>
            </w:r>
            <w:r w:rsidR="009754DD">
              <w:rPr>
                <w:lang w:val="uk-UA"/>
              </w:rPr>
              <w:t xml:space="preserve">норм та </w:t>
            </w:r>
            <w:r>
              <w:rPr>
                <w:lang w:val="uk-UA"/>
              </w:rPr>
              <w:t>вимог</w:t>
            </w:r>
            <w:r w:rsidR="006D1A81">
              <w:rPr>
                <w:lang w:val="uk-UA"/>
              </w:rPr>
              <w:t xml:space="preserve"> Податкового</w:t>
            </w:r>
            <w:r w:rsidR="00FA5DC4">
              <w:rPr>
                <w:lang w:val="uk-UA"/>
              </w:rPr>
              <w:t xml:space="preserve"> кодексу</w:t>
            </w:r>
            <w:r w:rsidR="00880419">
              <w:rPr>
                <w:lang w:val="uk-UA"/>
              </w:rPr>
              <w:t xml:space="preserve"> України</w:t>
            </w:r>
            <w:r w:rsidR="009754DD">
              <w:rPr>
                <w:lang w:val="uk-UA"/>
              </w:rPr>
              <w:t>;</w:t>
            </w:r>
          </w:p>
          <w:p w:rsidR="006761AF" w:rsidRDefault="005F3211" w:rsidP="00C708C2">
            <w:pPr>
              <w:ind w:left="-36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DE4AB1">
              <w:rPr>
                <w:lang w:val="uk-UA"/>
              </w:rPr>
              <w:t xml:space="preserve">упорядкування </w:t>
            </w:r>
            <w:r w:rsidR="00880419">
              <w:rPr>
                <w:lang w:val="uk-UA"/>
              </w:rPr>
              <w:t>господарських та адміністративних відносин</w:t>
            </w:r>
            <w:r w:rsidR="00DE4AB1">
              <w:rPr>
                <w:lang w:val="uk-UA"/>
              </w:rPr>
              <w:t xml:space="preserve"> між</w:t>
            </w:r>
            <w:r w:rsidR="00880419">
              <w:rPr>
                <w:lang w:val="uk-UA"/>
              </w:rPr>
              <w:t xml:space="preserve"> громадянами України, іноземцями, які перебувають на території Чорноморської міської ради Одеського району Одеської області</w:t>
            </w:r>
            <w:r w:rsidR="00BD5C03">
              <w:rPr>
                <w:lang w:val="uk-UA"/>
              </w:rPr>
              <w:t>,</w:t>
            </w:r>
            <w:r w:rsidR="00880419">
              <w:rPr>
                <w:lang w:val="uk-UA"/>
              </w:rPr>
              <w:t xml:space="preserve"> податковими агентами</w:t>
            </w:r>
            <w:r w:rsidR="0025707A">
              <w:rPr>
                <w:lang w:val="uk-UA"/>
              </w:rPr>
              <w:t xml:space="preserve"> (які здійснюють</w:t>
            </w:r>
            <w:r w:rsidR="00880419">
              <w:rPr>
                <w:lang w:val="uk-UA"/>
              </w:rPr>
              <w:t xml:space="preserve"> справляння </w:t>
            </w:r>
            <w:r w:rsidR="0025707A">
              <w:rPr>
                <w:lang w:val="uk-UA"/>
              </w:rPr>
              <w:t xml:space="preserve">туристичного </w:t>
            </w:r>
            <w:r w:rsidR="00880419">
              <w:rPr>
                <w:lang w:val="uk-UA"/>
              </w:rPr>
              <w:t>збору</w:t>
            </w:r>
            <w:r w:rsidR="0025707A">
              <w:rPr>
                <w:lang w:val="uk-UA"/>
              </w:rPr>
              <w:t xml:space="preserve">) та органами </w:t>
            </w:r>
            <w:r w:rsidR="00DE4AB1">
              <w:rPr>
                <w:lang w:val="uk-UA"/>
              </w:rPr>
              <w:t>місцевого самоврядування;</w:t>
            </w:r>
          </w:p>
          <w:p w:rsidR="006761AF" w:rsidRDefault="00AE214F" w:rsidP="006A0810">
            <w:pPr>
              <w:ind w:left="-36"/>
              <w:jc w:val="both"/>
              <w:rPr>
                <w:lang w:val="uk-UA"/>
              </w:rPr>
            </w:pPr>
            <w:r>
              <w:rPr>
                <w:lang w:val="uk-UA"/>
              </w:rPr>
              <w:t>- збільше</w:t>
            </w:r>
            <w:r w:rsidR="0025707A">
              <w:rPr>
                <w:lang w:val="uk-UA"/>
              </w:rPr>
              <w:t xml:space="preserve">ння надходжень до міського бюджету від сплати </w:t>
            </w:r>
            <w:r w:rsidR="00DE4AB1">
              <w:rPr>
                <w:lang w:val="uk-UA"/>
              </w:rPr>
              <w:t>туристичного збору</w:t>
            </w:r>
            <w:r w:rsidR="006A0810">
              <w:rPr>
                <w:lang w:val="uk-UA"/>
              </w:rPr>
              <w:t>.</w:t>
            </w:r>
          </w:p>
          <w:p w:rsidR="0034392A" w:rsidRPr="00C708C2" w:rsidRDefault="0034392A" w:rsidP="006A0810">
            <w:pPr>
              <w:ind w:left="-36"/>
              <w:jc w:val="both"/>
              <w:rPr>
                <w:lang w:val="uk-UA"/>
              </w:rPr>
            </w:pPr>
          </w:p>
        </w:tc>
      </w:tr>
      <w:tr w:rsidR="008772B5" w:rsidRPr="00027DCF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A4F68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8772B5" w:rsidRPr="00C708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C708C2">
              <w:rPr>
                <w:b/>
                <w:lang w:val="uk-UA"/>
              </w:rPr>
              <w:t xml:space="preserve">Строк виконання заходів </w:t>
            </w:r>
            <w:r w:rsidR="00871A6D">
              <w:rPr>
                <w:b/>
                <w:lang w:val="uk-UA"/>
              </w:rPr>
              <w:t xml:space="preserve">                               </w:t>
            </w:r>
            <w:r w:rsidRPr="00C708C2">
              <w:rPr>
                <w:b/>
                <w:lang w:val="uk-UA"/>
              </w:rPr>
              <w:t>з відстеженн</w:t>
            </w:r>
            <w:r w:rsidR="00871A6D">
              <w:rPr>
                <w:b/>
                <w:lang w:val="uk-UA"/>
              </w:rPr>
              <w:t>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E" w:rsidRPr="00C708C2" w:rsidRDefault="00B535A1" w:rsidP="00C70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  <w:tr w:rsidR="008772B5" w:rsidRPr="00027DCF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A4F68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8772B5" w:rsidRPr="00C708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C708C2">
              <w:rPr>
                <w:b/>
                <w:lang w:val="uk-UA"/>
              </w:rPr>
              <w:t>Тип відстеження регуляторного акта</w:t>
            </w:r>
            <w:r w:rsidR="00527B51">
              <w:rPr>
                <w:b/>
                <w:lang w:val="uk-UA"/>
              </w:rPr>
              <w:t xml:space="preserve"> (базове, повторне, періодичне)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Default="008772B5" w:rsidP="00C708C2">
            <w:pPr>
              <w:tabs>
                <w:tab w:val="left" w:pos="6761"/>
              </w:tabs>
              <w:jc w:val="both"/>
              <w:rPr>
                <w:lang w:val="uk-UA"/>
              </w:rPr>
            </w:pPr>
            <w:r w:rsidRPr="00C708C2">
              <w:rPr>
                <w:lang w:val="uk-UA"/>
              </w:rPr>
              <w:t>Здійснюється</w:t>
            </w:r>
            <w:r w:rsidR="00290C3B" w:rsidRPr="00C708C2">
              <w:rPr>
                <w:lang w:val="uk-UA"/>
              </w:rPr>
              <w:t xml:space="preserve"> </w:t>
            </w:r>
            <w:r w:rsidR="00527B51">
              <w:rPr>
                <w:lang w:val="uk-UA"/>
              </w:rPr>
              <w:t>періодич</w:t>
            </w:r>
            <w:r w:rsidR="0070613E" w:rsidRPr="00C708C2">
              <w:rPr>
                <w:lang w:val="uk-UA"/>
              </w:rPr>
              <w:t>не</w:t>
            </w:r>
            <w:r w:rsidRPr="00C708C2">
              <w:rPr>
                <w:lang w:val="uk-UA"/>
              </w:rPr>
              <w:t xml:space="preserve"> відстеження результативності регуляторного акта.</w:t>
            </w:r>
          </w:p>
          <w:p w:rsidR="005A175F" w:rsidRPr="00C708C2" w:rsidRDefault="005A175F" w:rsidP="00C708C2">
            <w:pPr>
              <w:tabs>
                <w:tab w:val="left" w:pos="6761"/>
              </w:tabs>
              <w:jc w:val="both"/>
              <w:rPr>
                <w:lang w:val="uk-UA"/>
              </w:rPr>
            </w:pPr>
          </w:p>
        </w:tc>
      </w:tr>
      <w:tr w:rsidR="008772B5" w:rsidRPr="00FF2081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6922EC" w:rsidRDefault="008A4F68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6922EC">
              <w:rPr>
                <w:b w:val="0"/>
                <w:sz w:val="24"/>
                <w:szCs w:val="24"/>
              </w:rPr>
              <w:t>6</w:t>
            </w:r>
            <w:r w:rsidR="008772B5" w:rsidRPr="006922E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C708C2">
              <w:rPr>
                <w:b/>
                <w:lang w:val="uk-UA"/>
              </w:rPr>
              <w:t>Методи одержання результатів відстеження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87" w:rsidRPr="008A4F68" w:rsidRDefault="00BC1315" w:rsidP="00D247CD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BC1315">
              <w:rPr>
                <w:b w:val="0"/>
                <w:sz w:val="24"/>
                <w:szCs w:val="24"/>
              </w:rPr>
              <w:t>Показники надходжень туристичного збору до бюджету Чорноморської міської територіальної громади</w:t>
            </w:r>
            <w:r w:rsidR="00D247CD">
              <w:rPr>
                <w:b w:val="0"/>
                <w:sz w:val="24"/>
                <w:szCs w:val="24"/>
              </w:rPr>
              <w:t xml:space="preserve">, </w:t>
            </w:r>
            <w:r w:rsidRPr="00BC1315">
              <w:rPr>
                <w:b w:val="0"/>
                <w:sz w:val="24"/>
                <w:szCs w:val="24"/>
              </w:rPr>
              <w:t>моніторинг діяльності суб’єктів господарювання, перевірк</w:t>
            </w:r>
            <w:r>
              <w:rPr>
                <w:b w:val="0"/>
                <w:sz w:val="24"/>
                <w:szCs w:val="24"/>
              </w:rPr>
              <w:t>а</w:t>
            </w:r>
            <w:r w:rsidRPr="00BC1315">
              <w:rPr>
                <w:b w:val="0"/>
                <w:sz w:val="24"/>
                <w:szCs w:val="24"/>
              </w:rPr>
              <w:t xml:space="preserve"> повноти та своєчасності сплати ту</w:t>
            </w:r>
            <w:r>
              <w:rPr>
                <w:b w:val="0"/>
                <w:sz w:val="24"/>
                <w:szCs w:val="24"/>
              </w:rPr>
              <w:t>ристичного збору, а також оцінка</w:t>
            </w:r>
            <w:r w:rsidRPr="00BC1315">
              <w:rPr>
                <w:b w:val="0"/>
                <w:sz w:val="24"/>
                <w:szCs w:val="24"/>
              </w:rPr>
              <w:t xml:space="preserve"> рівня обізнаності платників щодо механізмів його сплати.</w:t>
            </w:r>
          </w:p>
        </w:tc>
      </w:tr>
      <w:tr w:rsidR="008772B5" w:rsidRPr="00FF2081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422506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8772B5" w:rsidRPr="00C708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8772B5" w:rsidP="00D247CD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C708C2">
              <w:rPr>
                <w:b/>
                <w:lang w:val="uk-UA"/>
              </w:rPr>
              <w:t>Дані та припущення, на основ</w:t>
            </w:r>
            <w:r w:rsidR="00422506">
              <w:rPr>
                <w:b/>
                <w:lang w:val="uk-UA"/>
              </w:rPr>
              <w:t>і яких</w:t>
            </w:r>
            <w:r w:rsidR="00D247CD">
              <w:rPr>
                <w:b/>
                <w:lang w:val="uk-UA"/>
              </w:rPr>
              <w:t xml:space="preserve"> </w:t>
            </w:r>
            <w:r w:rsidRPr="00C708C2">
              <w:rPr>
                <w:b/>
                <w:lang w:val="uk-UA"/>
              </w:rPr>
              <w:t xml:space="preserve">відстежувалась результативність, а також </w:t>
            </w:r>
            <w:r w:rsidR="00D247CD">
              <w:rPr>
                <w:b/>
                <w:lang w:val="uk-UA"/>
              </w:rPr>
              <w:t xml:space="preserve">               </w:t>
            </w:r>
            <w:r w:rsidRPr="00C708C2">
              <w:rPr>
                <w:b/>
                <w:lang w:val="uk-UA"/>
              </w:rPr>
              <w:t>способи одержання даних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25" w:rsidRDefault="00E35825" w:rsidP="00E35825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Відстеження результативності відбувається</w:t>
            </w:r>
            <w:r w:rsidRPr="00ED269D">
              <w:rPr>
                <w:b w:val="0"/>
                <w:sz w:val="24"/>
                <w:szCs w:val="24"/>
              </w:rPr>
              <w:t xml:space="preserve"> відповідно до вимог Закону України „Про засади державної регуляторної політики у сфері господарської д</w:t>
            </w:r>
            <w:r w:rsidRPr="00ED269D">
              <w:rPr>
                <w:b w:val="0"/>
                <w:sz w:val="24"/>
                <w:szCs w:val="24"/>
                <w:lang w:val="ru-RU"/>
              </w:rPr>
              <w:t>i</w:t>
            </w:r>
            <w:proofErr w:type="spellStart"/>
            <w:r w:rsidRPr="00ED269D">
              <w:rPr>
                <w:b w:val="0"/>
                <w:sz w:val="24"/>
                <w:szCs w:val="24"/>
              </w:rPr>
              <w:t>яльност</w:t>
            </w:r>
            <w:proofErr w:type="spellEnd"/>
            <w:r w:rsidRPr="00ED269D">
              <w:rPr>
                <w:b w:val="0"/>
                <w:sz w:val="24"/>
                <w:szCs w:val="24"/>
                <w:lang w:val="ru-RU"/>
              </w:rPr>
              <w:t>i</w:t>
            </w:r>
            <w:r w:rsidRPr="00ED269D">
              <w:rPr>
                <w:b w:val="0"/>
                <w:sz w:val="24"/>
                <w:szCs w:val="24"/>
              </w:rPr>
              <w:t xml:space="preserve">”, Методики проведення аналізу впливу та відстеження результативності регуляторного акта, затвердженої постановою </w:t>
            </w:r>
            <w:r w:rsidRPr="00617D2A">
              <w:rPr>
                <w:b w:val="0"/>
                <w:sz w:val="24"/>
                <w:szCs w:val="24"/>
              </w:rPr>
              <w:t>Кабінету Міністрів України від 11.03.04 № 308 «Про затвердження методики проведення аналізу впливу та відстеження результативності регуляторного акта» (зі змінами та доповненнями)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70613E" w:rsidRPr="00C708C2" w:rsidRDefault="0070613E" w:rsidP="008F6B5F">
            <w:pPr>
              <w:pStyle w:val="a3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772B5" w:rsidRPr="0082390A" w:rsidTr="00C708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Pr="00C708C2" w:rsidRDefault="00B937AA" w:rsidP="00C708C2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</w:t>
            </w:r>
            <w:r w:rsidR="008772B5" w:rsidRPr="00C708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B5" w:rsidRDefault="008772B5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C708C2">
              <w:rPr>
                <w:b/>
                <w:lang w:val="uk-UA"/>
              </w:rPr>
              <w:t>Кількісні та якісні значення показників результативності акта</w:t>
            </w:r>
          </w:p>
          <w:p w:rsidR="001653D0" w:rsidRDefault="001653D0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</w:p>
          <w:p w:rsidR="001653D0" w:rsidRPr="00C708C2" w:rsidRDefault="001653D0" w:rsidP="00C708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18" w:rsidRPr="00C708C2" w:rsidRDefault="00E77E94" w:rsidP="006F211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Показники результативності проаналізов</w:t>
            </w:r>
            <w:r w:rsidR="00CE216A">
              <w:rPr>
                <w:color w:val="000000"/>
                <w:lang w:val="uk-UA"/>
              </w:rPr>
              <w:t>ані за період 01.01.2022 – 01.01</w:t>
            </w:r>
            <w:r>
              <w:rPr>
                <w:color w:val="000000"/>
                <w:lang w:val="uk-UA"/>
              </w:rPr>
              <w:t>.202</w:t>
            </w:r>
            <w:r w:rsidR="00CE216A">
              <w:rPr>
                <w:color w:val="000000"/>
                <w:lang w:val="uk-UA"/>
              </w:rPr>
              <w:t>5</w:t>
            </w:r>
            <w:r w:rsidR="003A6DA0">
              <w:rPr>
                <w:color w:val="000000"/>
                <w:lang w:val="uk-UA"/>
              </w:rPr>
              <w:t xml:space="preserve">                                        </w:t>
            </w:r>
          </w:p>
        </w:tc>
      </w:tr>
    </w:tbl>
    <w:p w:rsidR="008D6BAF" w:rsidRDefault="008D6BAF" w:rsidP="008D6BAF">
      <w:pPr>
        <w:pStyle w:val="a3"/>
        <w:tabs>
          <w:tab w:val="left" w:pos="6761"/>
        </w:tabs>
        <w:ind w:firstLine="0"/>
        <w:jc w:val="left"/>
        <w:rPr>
          <w:b w:val="0"/>
          <w:sz w:val="24"/>
          <w:szCs w:val="24"/>
        </w:rPr>
      </w:pPr>
    </w:p>
    <w:p w:rsidR="00E61D05" w:rsidRPr="0095645C" w:rsidRDefault="00E61D05" w:rsidP="00E61D05">
      <w:pPr>
        <w:jc w:val="center"/>
        <w:rPr>
          <w:b/>
          <w:lang w:val="uk-UA"/>
        </w:rPr>
      </w:pPr>
      <w:r w:rsidRPr="0095645C">
        <w:rPr>
          <w:b/>
          <w:lang w:val="uk-UA"/>
        </w:rPr>
        <w:t xml:space="preserve">Надходження єдиного податку </w:t>
      </w:r>
      <w:r w:rsidR="00E2509A">
        <w:rPr>
          <w:b/>
          <w:lang w:val="uk-UA"/>
        </w:rPr>
        <w:t>за 2022-2024рр. (станом на 01.01.2025</w:t>
      </w:r>
      <w:r w:rsidRPr="0095645C">
        <w:rPr>
          <w:b/>
          <w:lang w:val="uk-UA"/>
        </w:rPr>
        <w:t>р.)</w:t>
      </w:r>
    </w:p>
    <w:p w:rsidR="00E61D05" w:rsidRDefault="00E61D05" w:rsidP="00E61D0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Тис. грн.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756"/>
        <w:gridCol w:w="1985"/>
        <w:gridCol w:w="2772"/>
        <w:gridCol w:w="2552"/>
      </w:tblGrid>
      <w:tr w:rsidR="00E61D05" w:rsidTr="00EF7E87">
        <w:tc>
          <w:tcPr>
            <w:tcW w:w="2756" w:type="dxa"/>
          </w:tcPr>
          <w:p w:rsidR="00E61D05" w:rsidRDefault="00E61D05" w:rsidP="00E6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1985" w:type="dxa"/>
          </w:tcPr>
          <w:p w:rsidR="00E61D05" w:rsidRDefault="00E61D05" w:rsidP="00E6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Туристичний збір сплачений юридичними особами</w:t>
            </w:r>
          </w:p>
          <w:p w:rsidR="00E61D05" w:rsidRDefault="00FF2081" w:rsidP="00E6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(18</w:t>
            </w:r>
            <w:r w:rsidR="00E61D05">
              <w:rPr>
                <w:lang w:val="uk-UA"/>
              </w:rPr>
              <w:t>030100)</w:t>
            </w:r>
          </w:p>
        </w:tc>
        <w:tc>
          <w:tcPr>
            <w:tcW w:w="2772" w:type="dxa"/>
          </w:tcPr>
          <w:p w:rsidR="00E61D05" w:rsidRDefault="00E61D05" w:rsidP="00E6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Туристичний збір сплачений фізичними особами</w:t>
            </w:r>
          </w:p>
          <w:p w:rsidR="00E61D05" w:rsidRDefault="00FF2081" w:rsidP="00E6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(18</w:t>
            </w:r>
            <w:bookmarkStart w:id="0" w:name="_GoBack"/>
            <w:bookmarkEnd w:id="0"/>
            <w:r w:rsidR="00E61D05">
              <w:rPr>
                <w:lang w:val="uk-UA"/>
              </w:rPr>
              <w:t>030200)</w:t>
            </w:r>
          </w:p>
        </w:tc>
        <w:tc>
          <w:tcPr>
            <w:tcW w:w="2552" w:type="dxa"/>
          </w:tcPr>
          <w:p w:rsidR="00E73DD6" w:rsidRDefault="00E73DD6" w:rsidP="00E61D05">
            <w:pPr>
              <w:jc w:val="center"/>
              <w:rPr>
                <w:lang w:val="uk-UA"/>
              </w:rPr>
            </w:pPr>
          </w:p>
          <w:p w:rsidR="00E73DD6" w:rsidRDefault="00E73DD6" w:rsidP="00E61D05">
            <w:pPr>
              <w:jc w:val="center"/>
              <w:rPr>
                <w:lang w:val="uk-UA"/>
              </w:rPr>
            </w:pPr>
          </w:p>
          <w:p w:rsidR="00E61D05" w:rsidRDefault="00E61D05" w:rsidP="00E6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E61D05" w:rsidRPr="004C64C9" w:rsidTr="00EF7E87">
        <w:trPr>
          <w:trHeight w:val="414"/>
        </w:trPr>
        <w:tc>
          <w:tcPr>
            <w:tcW w:w="2756" w:type="dxa"/>
          </w:tcPr>
          <w:p w:rsidR="00E61D05" w:rsidRPr="004C64C9" w:rsidRDefault="00E61D05" w:rsidP="00E61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  <w:r w:rsidRPr="004C64C9">
              <w:rPr>
                <w:b/>
                <w:lang w:val="uk-UA"/>
              </w:rPr>
              <w:t xml:space="preserve"> рік</w:t>
            </w:r>
          </w:p>
        </w:tc>
        <w:tc>
          <w:tcPr>
            <w:tcW w:w="1985" w:type="dxa"/>
          </w:tcPr>
          <w:p w:rsidR="00E61D05" w:rsidRPr="00A8146C" w:rsidRDefault="008F6B5F" w:rsidP="00E61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61,</w:t>
            </w:r>
            <w:r w:rsidR="00E61D05" w:rsidRPr="00A8146C">
              <w:rPr>
                <w:b/>
                <w:lang w:val="uk-UA"/>
              </w:rPr>
              <w:t>4</w:t>
            </w:r>
          </w:p>
        </w:tc>
        <w:tc>
          <w:tcPr>
            <w:tcW w:w="2772" w:type="dxa"/>
          </w:tcPr>
          <w:p w:rsidR="00E61D05" w:rsidRPr="00A8146C" w:rsidRDefault="008F6B5F" w:rsidP="00E61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50,</w:t>
            </w:r>
            <w:r w:rsidR="00E61D05" w:rsidRPr="00A8146C">
              <w:rPr>
                <w:b/>
                <w:lang w:val="uk-UA"/>
              </w:rPr>
              <w:t xml:space="preserve">5 </w:t>
            </w:r>
          </w:p>
        </w:tc>
        <w:tc>
          <w:tcPr>
            <w:tcW w:w="2552" w:type="dxa"/>
          </w:tcPr>
          <w:p w:rsidR="00E61D05" w:rsidRPr="00A8146C" w:rsidRDefault="008F6B5F" w:rsidP="00E61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111,</w:t>
            </w:r>
            <w:r w:rsidR="00E61D05" w:rsidRPr="00A8146C">
              <w:rPr>
                <w:b/>
                <w:lang w:val="uk-UA"/>
              </w:rPr>
              <w:t>9</w:t>
            </w:r>
          </w:p>
        </w:tc>
      </w:tr>
      <w:tr w:rsidR="00E61D05" w:rsidRPr="004C64C9" w:rsidTr="00EF7E87">
        <w:trPr>
          <w:trHeight w:val="410"/>
        </w:trPr>
        <w:tc>
          <w:tcPr>
            <w:tcW w:w="2756" w:type="dxa"/>
          </w:tcPr>
          <w:p w:rsidR="00E61D05" w:rsidRPr="002073F9" w:rsidRDefault="00E61D05" w:rsidP="00E61D05">
            <w:pPr>
              <w:jc w:val="center"/>
              <w:rPr>
                <w:b/>
                <w:lang w:val="uk-UA"/>
              </w:rPr>
            </w:pPr>
            <w:r w:rsidRPr="002073F9">
              <w:rPr>
                <w:b/>
                <w:lang w:val="uk-UA"/>
              </w:rPr>
              <w:t>2023 рік</w:t>
            </w:r>
          </w:p>
        </w:tc>
        <w:tc>
          <w:tcPr>
            <w:tcW w:w="1985" w:type="dxa"/>
          </w:tcPr>
          <w:p w:rsidR="00E61D05" w:rsidRPr="00A8146C" w:rsidRDefault="008F6B5F" w:rsidP="00E61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207,</w:t>
            </w:r>
            <w:r w:rsidR="00E61D05" w:rsidRPr="00A8146C">
              <w:rPr>
                <w:b/>
                <w:lang w:val="uk-UA"/>
              </w:rPr>
              <w:t>0</w:t>
            </w:r>
          </w:p>
        </w:tc>
        <w:tc>
          <w:tcPr>
            <w:tcW w:w="2772" w:type="dxa"/>
          </w:tcPr>
          <w:p w:rsidR="00E61D05" w:rsidRPr="00A8146C" w:rsidRDefault="008F6B5F" w:rsidP="00E61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76,</w:t>
            </w:r>
            <w:r w:rsidR="00E61D05" w:rsidRPr="00A8146C">
              <w:rPr>
                <w:b/>
                <w:lang w:val="uk-UA"/>
              </w:rPr>
              <w:t>2</w:t>
            </w:r>
          </w:p>
        </w:tc>
        <w:tc>
          <w:tcPr>
            <w:tcW w:w="2552" w:type="dxa"/>
          </w:tcPr>
          <w:p w:rsidR="00E61D05" w:rsidRPr="00A8146C" w:rsidRDefault="008F6B5F" w:rsidP="00E61D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283,</w:t>
            </w:r>
            <w:r w:rsidR="00E61D05" w:rsidRPr="00A8146C">
              <w:rPr>
                <w:b/>
                <w:lang w:val="uk-UA"/>
              </w:rPr>
              <w:t>2</w:t>
            </w:r>
          </w:p>
        </w:tc>
      </w:tr>
      <w:tr w:rsidR="00E61D05" w:rsidRPr="004C64C9" w:rsidTr="00EF7E87">
        <w:trPr>
          <w:trHeight w:val="422"/>
        </w:trPr>
        <w:tc>
          <w:tcPr>
            <w:tcW w:w="2756" w:type="dxa"/>
          </w:tcPr>
          <w:p w:rsidR="00E61D05" w:rsidRPr="002073F9" w:rsidRDefault="00E61D05" w:rsidP="00E61D05">
            <w:pPr>
              <w:jc w:val="center"/>
              <w:rPr>
                <w:i/>
                <w:lang w:val="uk-UA"/>
              </w:rPr>
            </w:pPr>
            <w:r w:rsidRPr="002073F9">
              <w:rPr>
                <w:i/>
                <w:lang w:val="uk-UA"/>
              </w:rPr>
              <w:t>Темп росту 2023/2022</w:t>
            </w:r>
          </w:p>
        </w:tc>
        <w:tc>
          <w:tcPr>
            <w:tcW w:w="1985" w:type="dxa"/>
          </w:tcPr>
          <w:p w:rsidR="00E61D05" w:rsidRPr="00A8146C" w:rsidRDefault="00E61D05" w:rsidP="00E61D05">
            <w:pPr>
              <w:jc w:val="center"/>
              <w:rPr>
                <w:i/>
                <w:lang w:val="uk-UA"/>
              </w:rPr>
            </w:pPr>
            <w:r w:rsidRPr="00A8146C">
              <w:rPr>
                <w:i/>
                <w:lang w:val="uk-UA"/>
              </w:rPr>
              <w:t>337,0 %</w:t>
            </w:r>
          </w:p>
        </w:tc>
        <w:tc>
          <w:tcPr>
            <w:tcW w:w="2772" w:type="dxa"/>
          </w:tcPr>
          <w:p w:rsidR="00E61D05" w:rsidRPr="00A8146C" w:rsidRDefault="00E61D05" w:rsidP="00E61D05">
            <w:pPr>
              <w:jc w:val="center"/>
              <w:rPr>
                <w:i/>
                <w:lang w:val="uk-UA"/>
              </w:rPr>
            </w:pPr>
            <w:r w:rsidRPr="00A8146C">
              <w:rPr>
                <w:i/>
                <w:lang w:val="uk-UA"/>
              </w:rPr>
              <w:t>150,9 %</w:t>
            </w:r>
          </w:p>
        </w:tc>
        <w:tc>
          <w:tcPr>
            <w:tcW w:w="2552" w:type="dxa"/>
          </w:tcPr>
          <w:p w:rsidR="00E61D05" w:rsidRPr="00A8146C" w:rsidRDefault="00E61D05" w:rsidP="00E61D05">
            <w:pPr>
              <w:jc w:val="center"/>
              <w:rPr>
                <w:i/>
                <w:lang w:val="uk-UA"/>
              </w:rPr>
            </w:pPr>
            <w:r w:rsidRPr="00A8146C">
              <w:rPr>
                <w:i/>
                <w:lang w:val="uk-UA"/>
              </w:rPr>
              <w:t>253,1 %</w:t>
            </w:r>
          </w:p>
        </w:tc>
      </w:tr>
      <w:tr w:rsidR="00E61D05" w:rsidRPr="004C64C9" w:rsidTr="00EF7E87">
        <w:trPr>
          <w:trHeight w:val="420"/>
        </w:trPr>
        <w:tc>
          <w:tcPr>
            <w:tcW w:w="2756" w:type="dxa"/>
          </w:tcPr>
          <w:p w:rsidR="00E61D05" w:rsidRPr="004B07EC" w:rsidRDefault="00E61D05" w:rsidP="00E61D05">
            <w:pPr>
              <w:jc w:val="center"/>
              <w:rPr>
                <w:b/>
                <w:lang w:val="uk-UA"/>
              </w:rPr>
            </w:pPr>
            <w:r w:rsidRPr="004B07EC">
              <w:rPr>
                <w:b/>
                <w:lang w:val="uk-UA"/>
              </w:rPr>
              <w:t>2024 рік</w:t>
            </w:r>
          </w:p>
        </w:tc>
        <w:tc>
          <w:tcPr>
            <w:tcW w:w="1985" w:type="dxa"/>
          </w:tcPr>
          <w:p w:rsidR="00E61D05" w:rsidRPr="006A3A61" w:rsidRDefault="00E61D05" w:rsidP="00E61D05">
            <w:pPr>
              <w:jc w:val="center"/>
              <w:rPr>
                <w:b/>
                <w:lang w:val="uk-UA"/>
              </w:rPr>
            </w:pPr>
            <w:r w:rsidRPr="006A3A61">
              <w:rPr>
                <w:b/>
                <w:lang w:val="en-US"/>
              </w:rPr>
              <w:t>273,6</w:t>
            </w:r>
          </w:p>
        </w:tc>
        <w:tc>
          <w:tcPr>
            <w:tcW w:w="2772" w:type="dxa"/>
          </w:tcPr>
          <w:p w:rsidR="00E61D05" w:rsidRPr="006A3A61" w:rsidRDefault="00E61D05" w:rsidP="00E61D05">
            <w:pPr>
              <w:jc w:val="center"/>
              <w:rPr>
                <w:b/>
                <w:lang w:val="uk-UA"/>
              </w:rPr>
            </w:pPr>
            <w:r w:rsidRPr="006A3A61">
              <w:rPr>
                <w:b/>
                <w:lang w:val="uk-UA"/>
              </w:rPr>
              <w:t>197,1</w:t>
            </w:r>
          </w:p>
        </w:tc>
        <w:tc>
          <w:tcPr>
            <w:tcW w:w="2552" w:type="dxa"/>
          </w:tcPr>
          <w:p w:rsidR="00E61D05" w:rsidRPr="006A3A61" w:rsidRDefault="00E61D05" w:rsidP="00E61D05">
            <w:pPr>
              <w:jc w:val="center"/>
              <w:rPr>
                <w:b/>
                <w:lang w:val="uk-UA"/>
              </w:rPr>
            </w:pPr>
            <w:r w:rsidRPr="006A3A61">
              <w:rPr>
                <w:b/>
                <w:lang w:val="uk-UA"/>
              </w:rPr>
              <w:t>470,7</w:t>
            </w:r>
          </w:p>
        </w:tc>
      </w:tr>
      <w:tr w:rsidR="00E61D05" w:rsidRPr="004C64C9" w:rsidTr="00EF7E87">
        <w:trPr>
          <w:trHeight w:val="548"/>
        </w:trPr>
        <w:tc>
          <w:tcPr>
            <w:tcW w:w="2756" w:type="dxa"/>
          </w:tcPr>
          <w:p w:rsidR="00E61D05" w:rsidRPr="004B493C" w:rsidRDefault="00E61D05" w:rsidP="00E61D05">
            <w:pPr>
              <w:jc w:val="center"/>
              <w:rPr>
                <w:i/>
                <w:lang w:val="uk-UA"/>
              </w:rPr>
            </w:pPr>
            <w:r w:rsidRPr="004B493C">
              <w:rPr>
                <w:i/>
                <w:lang w:val="uk-UA"/>
              </w:rPr>
              <w:t>Темп росту 2024/2023</w:t>
            </w:r>
          </w:p>
        </w:tc>
        <w:tc>
          <w:tcPr>
            <w:tcW w:w="1985" w:type="dxa"/>
          </w:tcPr>
          <w:p w:rsidR="00E61D05" w:rsidRPr="006A3A61" w:rsidRDefault="00E61D05" w:rsidP="00E61D05">
            <w:pPr>
              <w:jc w:val="center"/>
              <w:rPr>
                <w:i/>
                <w:lang w:val="uk-UA"/>
              </w:rPr>
            </w:pPr>
            <w:r w:rsidRPr="006A3A61">
              <w:rPr>
                <w:i/>
                <w:lang w:val="uk-UA"/>
              </w:rPr>
              <w:t>132,2 %</w:t>
            </w:r>
          </w:p>
        </w:tc>
        <w:tc>
          <w:tcPr>
            <w:tcW w:w="2772" w:type="dxa"/>
          </w:tcPr>
          <w:p w:rsidR="00E61D05" w:rsidRPr="006A3A61" w:rsidRDefault="00E61D05" w:rsidP="00E61D05">
            <w:pPr>
              <w:jc w:val="center"/>
              <w:rPr>
                <w:i/>
                <w:lang w:val="uk-UA"/>
              </w:rPr>
            </w:pPr>
            <w:r w:rsidRPr="006A3A61">
              <w:rPr>
                <w:i/>
                <w:lang w:val="uk-UA"/>
              </w:rPr>
              <w:t>258,7 %</w:t>
            </w:r>
          </w:p>
        </w:tc>
        <w:tc>
          <w:tcPr>
            <w:tcW w:w="2552" w:type="dxa"/>
          </w:tcPr>
          <w:p w:rsidR="00E61D05" w:rsidRPr="006A3A61" w:rsidRDefault="00E61D05" w:rsidP="00E61D05">
            <w:pPr>
              <w:jc w:val="center"/>
              <w:rPr>
                <w:i/>
                <w:lang w:val="uk-UA"/>
              </w:rPr>
            </w:pPr>
            <w:r w:rsidRPr="006A3A61">
              <w:rPr>
                <w:i/>
                <w:lang w:val="uk-UA"/>
              </w:rPr>
              <w:t>166,2 %</w:t>
            </w:r>
          </w:p>
        </w:tc>
      </w:tr>
    </w:tbl>
    <w:p w:rsidR="00E61D05" w:rsidRDefault="00E61D05" w:rsidP="00E61D05">
      <w:pPr>
        <w:rPr>
          <w:lang w:val="uk-UA"/>
        </w:rPr>
      </w:pPr>
    </w:p>
    <w:p w:rsidR="00E61D05" w:rsidRPr="00E73DD6" w:rsidRDefault="00E61D05" w:rsidP="00E73DD6">
      <w:pPr>
        <w:jc w:val="both"/>
        <w:rPr>
          <w:lang w:val="uk-UA"/>
        </w:rPr>
      </w:pPr>
      <w:r w:rsidRPr="00745C3C">
        <w:rPr>
          <w:noProof/>
          <w:color w:val="FF0000"/>
        </w:rPr>
        <w:drawing>
          <wp:inline distT="0" distB="0" distL="0" distR="0" wp14:anchorId="6F9EED13" wp14:editId="3EF9E43E">
            <wp:extent cx="5681106" cy="344003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1D05" w:rsidRDefault="00E61D05" w:rsidP="008D6BAF">
      <w:pPr>
        <w:pStyle w:val="a3"/>
        <w:tabs>
          <w:tab w:val="left" w:pos="6761"/>
        </w:tabs>
        <w:ind w:firstLine="0"/>
        <w:jc w:val="left"/>
        <w:rPr>
          <w:b w:val="0"/>
          <w:sz w:val="24"/>
          <w:szCs w:val="24"/>
        </w:rPr>
      </w:pPr>
    </w:p>
    <w:p w:rsidR="00E61D05" w:rsidRDefault="00E61D05" w:rsidP="008D6BAF">
      <w:pPr>
        <w:pStyle w:val="a3"/>
        <w:tabs>
          <w:tab w:val="left" w:pos="6761"/>
        </w:tabs>
        <w:ind w:firstLine="0"/>
        <w:jc w:val="left"/>
        <w:rPr>
          <w:b w:val="0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5292"/>
      </w:tblGrid>
      <w:tr w:rsidR="00E73DD6" w:rsidRPr="00FF2081" w:rsidTr="008118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D6" w:rsidRPr="00C708C2" w:rsidRDefault="00E73DD6" w:rsidP="008118A8">
            <w:pPr>
              <w:pStyle w:val="a3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C708C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D6" w:rsidRPr="00103C7C" w:rsidRDefault="00E73DD6" w:rsidP="008118A8">
            <w:pPr>
              <w:tabs>
                <w:tab w:val="left" w:pos="6761"/>
              </w:tabs>
              <w:ind w:firstLine="72"/>
              <w:jc w:val="both"/>
              <w:rPr>
                <w:b/>
                <w:lang w:val="uk-UA"/>
              </w:rPr>
            </w:pPr>
            <w:r w:rsidRPr="00103C7C">
              <w:rPr>
                <w:b/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1" w:rsidRPr="00E33AA1" w:rsidRDefault="00E33AA1" w:rsidP="00E33AA1">
            <w:pPr>
              <w:jc w:val="both"/>
              <w:rPr>
                <w:lang w:val="uk-UA"/>
              </w:rPr>
            </w:pPr>
            <w:r w:rsidRPr="00E33AA1">
              <w:rPr>
                <w:lang w:val="uk-UA"/>
              </w:rPr>
              <w:t xml:space="preserve">За період 2022–2024 років надходження туристичного збору до бюджету Чорноморської територіальної громади щороку зростають, навіть за умов складної соціально-економічної ситуації, викликаної воєнним станом. Стабільне зростання бюджетних надходжень і підтримка суб'єктів господарювання свідчать про стійкість місцевого бізнесу та ефективність регуляторних заходів. Аналіз даних демонструє позитивну динаміку: надходження туристичного збору щороку зростають, суб'єктів господарювання збільшується, незважаючи на виклики, пов'язані </w:t>
            </w:r>
            <w:r w:rsidRPr="00E33AA1">
              <w:rPr>
                <w:lang w:val="uk-UA"/>
              </w:rPr>
              <w:lastRenderedPageBreak/>
              <w:t>з безпекою та зниженням кількості  населення.</w:t>
            </w:r>
          </w:p>
          <w:p w:rsidR="00E73DD6" w:rsidRPr="00304755" w:rsidRDefault="00E33AA1" w:rsidP="00B413FF">
            <w:pPr>
              <w:jc w:val="both"/>
              <w:rPr>
                <w:lang w:val="uk-UA"/>
              </w:rPr>
            </w:pPr>
            <w:r w:rsidRPr="00E33AA1">
              <w:rPr>
                <w:lang w:val="uk-UA"/>
              </w:rPr>
              <w:t>Важливу роль у цьому відіграють такі фактори, як вибір відпочинку громадянами в межах країни через обмеження міжнародних подорожей і ризиків, пов’язаних з воєнним станом. Додатково обмежені фінансові можливості населення сприяють зростанню попиту на внутрішній туризм, адже відпочинок у межах України є більш доступним у порівнянні з виїздом за кордон. Ці фактори разом зі стійкістю місцевого бізнесу та підтримкою громади забезпечують позитивну динаміку розвитку туристичної сфери навіть у складних умовах.</w:t>
            </w:r>
          </w:p>
        </w:tc>
      </w:tr>
    </w:tbl>
    <w:p w:rsidR="00E61D05" w:rsidRDefault="00E61D05" w:rsidP="008D6BAF">
      <w:pPr>
        <w:pStyle w:val="a3"/>
        <w:tabs>
          <w:tab w:val="left" w:pos="6761"/>
        </w:tabs>
        <w:ind w:firstLine="0"/>
        <w:jc w:val="left"/>
        <w:rPr>
          <w:b w:val="0"/>
          <w:sz w:val="24"/>
          <w:szCs w:val="24"/>
        </w:rPr>
      </w:pPr>
    </w:p>
    <w:p w:rsidR="00E61D05" w:rsidRDefault="00E61D05" w:rsidP="008D6BAF">
      <w:pPr>
        <w:pStyle w:val="a3"/>
        <w:tabs>
          <w:tab w:val="left" w:pos="6761"/>
        </w:tabs>
        <w:ind w:firstLine="0"/>
        <w:jc w:val="left"/>
        <w:rPr>
          <w:b w:val="0"/>
          <w:sz w:val="24"/>
          <w:szCs w:val="24"/>
        </w:rPr>
      </w:pPr>
    </w:p>
    <w:p w:rsidR="00E73DD6" w:rsidRDefault="00E73DD6" w:rsidP="008D6BAF">
      <w:pPr>
        <w:pStyle w:val="a3"/>
        <w:tabs>
          <w:tab w:val="left" w:pos="6761"/>
        </w:tabs>
        <w:ind w:firstLine="0"/>
        <w:jc w:val="left"/>
        <w:rPr>
          <w:b w:val="0"/>
          <w:sz w:val="24"/>
          <w:szCs w:val="24"/>
        </w:rPr>
      </w:pPr>
    </w:p>
    <w:p w:rsidR="008772B5" w:rsidRPr="00027DCF" w:rsidRDefault="008D6BAF" w:rsidP="008D6BAF">
      <w:pPr>
        <w:pStyle w:val="a3"/>
        <w:tabs>
          <w:tab w:val="left" w:pos="6761"/>
        </w:tabs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"</w:t>
      </w:r>
      <w:r w:rsidR="00DE269D">
        <w:rPr>
          <w:b w:val="0"/>
          <w:sz w:val="24"/>
          <w:szCs w:val="24"/>
        </w:rPr>
        <w:t>02" січ</w:t>
      </w:r>
      <w:r w:rsidR="00103C7C">
        <w:rPr>
          <w:b w:val="0"/>
          <w:sz w:val="24"/>
          <w:szCs w:val="24"/>
        </w:rPr>
        <w:t>ня</w:t>
      </w:r>
      <w:r w:rsidR="00DE269D">
        <w:rPr>
          <w:b w:val="0"/>
          <w:sz w:val="24"/>
          <w:szCs w:val="24"/>
        </w:rPr>
        <w:t xml:space="preserve"> 2025</w:t>
      </w:r>
      <w:r>
        <w:rPr>
          <w:b w:val="0"/>
          <w:sz w:val="24"/>
          <w:szCs w:val="24"/>
        </w:rPr>
        <w:t>р.</w:t>
      </w:r>
    </w:p>
    <w:p w:rsidR="008D6BAF" w:rsidRDefault="008D6BAF" w:rsidP="008772B5">
      <w:pPr>
        <w:tabs>
          <w:tab w:val="left" w:pos="6761"/>
        </w:tabs>
        <w:rPr>
          <w:b/>
          <w:sz w:val="28"/>
          <w:szCs w:val="28"/>
          <w:lang w:val="uk-UA"/>
        </w:rPr>
      </w:pPr>
    </w:p>
    <w:p w:rsidR="00A83DE4" w:rsidRPr="008D18E7" w:rsidRDefault="00A83DE4" w:rsidP="00A83DE4">
      <w:pPr>
        <w:jc w:val="both"/>
        <w:rPr>
          <w:b/>
          <w:lang w:val="uk-UA"/>
        </w:rPr>
      </w:pPr>
      <w:r w:rsidRPr="008D18E7">
        <w:rPr>
          <w:b/>
          <w:lang w:val="uk-UA"/>
        </w:rPr>
        <w:t xml:space="preserve">Заступник начальника фінансового управління – </w:t>
      </w:r>
    </w:p>
    <w:p w:rsidR="00D53429" w:rsidRPr="00E35825" w:rsidRDefault="00A83DE4" w:rsidP="00E35825">
      <w:pPr>
        <w:jc w:val="both"/>
        <w:rPr>
          <w:sz w:val="28"/>
          <w:szCs w:val="28"/>
          <w:lang w:val="uk-UA"/>
        </w:rPr>
      </w:pPr>
      <w:r w:rsidRPr="008D18E7">
        <w:rPr>
          <w:b/>
          <w:lang w:val="uk-UA"/>
        </w:rPr>
        <w:t>начальник бюджетного відділу                                                         Світлана ПЄРКОВА</w:t>
      </w:r>
    </w:p>
    <w:sectPr w:rsidR="00D53429" w:rsidRPr="00E35825" w:rsidSect="00EF7E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6EAE"/>
    <w:multiLevelType w:val="hybridMultilevel"/>
    <w:tmpl w:val="3FF29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20082E"/>
    <w:multiLevelType w:val="hybridMultilevel"/>
    <w:tmpl w:val="78A842A2"/>
    <w:lvl w:ilvl="0" w:tplc="2884BD86">
      <w:start w:val="3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772B5"/>
    <w:rsid w:val="00011292"/>
    <w:rsid w:val="00053746"/>
    <w:rsid w:val="00065FCB"/>
    <w:rsid w:val="000B747D"/>
    <w:rsid w:val="000D28A8"/>
    <w:rsid w:val="00103C7C"/>
    <w:rsid w:val="00132CF0"/>
    <w:rsid w:val="00137684"/>
    <w:rsid w:val="00137A9C"/>
    <w:rsid w:val="0014010D"/>
    <w:rsid w:val="001425C0"/>
    <w:rsid w:val="00150D78"/>
    <w:rsid w:val="00163733"/>
    <w:rsid w:val="001653D0"/>
    <w:rsid w:val="00170078"/>
    <w:rsid w:val="00183653"/>
    <w:rsid w:val="00185C85"/>
    <w:rsid w:val="001B6029"/>
    <w:rsid w:val="001F0A82"/>
    <w:rsid w:val="001F7F63"/>
    <w:rsid w:val="00212081"/>
    <w:rsid w:val="0021412F"/>
    <w:rsid w:val="00234339"/>
    <w:rsid w:val="002350B1"/>
    <w:rsid w:val="002464AA"/>
    <w:rsid w:val="002521D1"/>
    <w:rsid w:val="0025707A"/>
    <w:rsid w:val="0027097D"/>
    <w:rsid w:val="0028428D"/>
    <w:rsid w:val="00290C3B"/>
    <w:rsid w:val="00293880"/>
    <w:rsid w:val="002958A1"/>
    <w:rsid w:val="00296D06"/>
    <w:rsid w:val="002A71DD"/>
    <w:rsid w:val="002C25C8"/>
    <w:rsid w:val="002E3AE9"/>
    <w:rsid w:val="002E4A72"/>
    <w:rsid w:val="002F7F7A"/>
    <w:rsid w:val="003017F7"/>
    <w:rsid w:val="00304755"/>
    <w:rsid w:val="003179E0"/>
    <w:rsid w:val="003254A7"/>
    <w:rsid w:val="003359D1"/>
    <w:rsid w:val="00337BB8"/>
    <w:rsid w:val="0034392A"/>
    <w:rsid w:val="00353F73"/>
    <w:rsid w:val="003541E3"/>
    <w:rsid w:val="00360A38"/>
    <w:rsid w:val="0036173C"/>
    <w:rsid w:val="00372026"/>
    <w:rsid w:val="00377755"/>
    <w:rsid w:val="00395323"/>
    <w:rsid w:val="00396868"/>
    <w:rsid w:val="003A6DA0"/>
    <w:rsid w:val="003D1A5F"/>
    <w:rsid w:val="003F5DB8"/>
    <w:rsid w:val="00400A0B"/>
    <w:rsid w:val="00402DFF"/>
    <w:rsid w:val="00422506"/>
    <w:rsid w:val="00436E3A"/>
    <w:rsid w:val="00445781"/>
    <w:rsid w:val="004651DA"/>
    <w:rsid w:val="00466667"/>
    <w:rsid w:val="004777CE"/>
    <w:rsid w:val="004B488A"/>
    <w:rsid w:val="004B6B36"/>
    <w:rsid w:val="004C3B2C"/>
    <w:rsid w:val="004C5B93"/>
    <w:rsid w:val="004E277A"/>
    <w:rsid w:val="004E4394"/>
    <w:rsid w:val="004E72E0"/>
    <w:rsid w:val="00503A80"/>
    <w:rsid w:val="00505DCC"/>
    <w:rsid w:val="00512B09"/>
    <w:rsid w:val="005227C9"/>
    <w:rsid w:val="00527B51"/>
    <w:rsid w:val="00534AEA"/>
    <w:rsid w:val="0054050E"/>
    <w:rsid w:val="00547262"/>
    <w:rsid w:val="00550599"/>
    <w:rsid w:val="00554035"/>
    <w:rsid w:val="0058112B"/>
    <w:rsid w:val="00585B70"/>
    <w:rsid w:val="005916F6"/>
    <w:rsid w:val="0059516D"/>
    <w:rsid w:val="005A175F"/>
    <w:rsid w:val="005B299A"/>
    <w:rsid w:val="005D2AE4"/>
    <w:rsid w:val="005F3211"/>
    <w:rsid w:val="005F40A9"/>
    <w:rsid w:val="00625376"/>
    <w:rsid w:val="00647900"/>
    <w:rsid w:val="00673083"/>
    <w:rsid w:val="006761AF"/>
    <w:rsid w:val="00681076"/>
    <w:rsid w:val="006853DE"/>
    <w:rsid w:val="006922EC"/>
    <w:rsid w:val="006A0810"/>
    <w:rsid w:val="006A3A61"/>
    <w:rsid w:val="006C51B5"/>
    <w:rsid w:val="006C689B"/>
    <w:rsid w:val="006D1A81"/>
    <w:rsid w:val="006F2118"/>
    <w:rsid w:val="006F5255"/>
    <w:rsid w:val="0070613E"/>
    <w:rsid w:val="0071133A"/>
    <w:rsid w:val="00735CD9"/>
    <w:rsid w:val="0074361B"/>
    <w:rsid w:val="00750DA3"/>
    <w:rsid w:val="0078227E"/>
    <w:rsid w:val="007858D7"/>
    <w:rsid w:val="007C65C3"/>
    <w:rsid w:val="00814F6D"/>
    <w:rsid w:val="0081529A"/>
    <w:rsid w:val="0082390A"/>
    <w:rsid w:val="00834A73"/>
    <w:rsid w:val="00862BEC"/>
    <w:rsid w:val="00863072"/>
    <w:rsid w:val="00867D89"/>
    <w:rsid w:val="00871A6D"/>
    <w:rsid w:val="008772B5"/>
    <w:rsid w:val="00880419"/>
    <w:rsid w:val="008864A4"/>
    <w:rsid w:val="008A3582"/>
    <w:rsid w:val="008A3805"/>
    <w:rsid w:val="008A4F68"/>
    <w:rsid w:val="008A6CB7"/>
    <w:rsid w:val="008C5495"/>
    <w:rsid w:val="008D04B5"/>
    <w:rsid w:val="008D6BAF"/>
    <w:rsid w:val="008F42EE"/>
    <w:rsid w:val="008F6B5F"/>
    <w:rsid w:val="00934109"/>
    <w:rsid w:val="00970834"/>
    <w:rsid w:val="009754DD"/>
    <w:rsid w:val="00982A78"/>
    <w:rsid w:val="009A37CF"/>
    <w:rsid w:val="009B155D"/>
    <w:rsid w:val="009D5D65"/>
    <w:rsid w:val="00A005F3"/>
    <w:rsid w:val="00A071C5"/>
    <w:rsid w:val="00A172B5"/>
    <w:rsid w:val="00A23C84"/>
    <w:rsid w:val="00A25224"/>
    <w:rsid w:val="00A2530B"/>
    <w:rsid w:val="00A27908"/>
    <w:rsid w:val="00A32D68"/>
    <w:rsid w:val="00A62369"/>
    <w:rsid w:val="00A67223"/>
    <w:rsid w:val="00A67FFE"/>
    <w:rsid w:val="00A72974"/>
    <w:rsid w:val="00A8146C"/>
    <w:rsid w:val="00A83DE4"/>
    <w:rsid w:val="00A94733"/>
    <w:rsid w:val="00AA5FF2"/>
    <w:rsid w:val="00AB0E8C"/>
    <w:rsid w:val="00AC07F7"/>
    <w:rsid w:val="00AC2C1E"/>
    <w:rsid w:val="00AE214F"/>
    <w:rsid w:val="00B03730"/>
    <w:rsid w:val="00B145C2"/>
    <w:rsid w:val="00B20C5E"/>
    <w:rsid w:val="00B413FF"/>
    <w:rsid w:val="00B45CB8"/>
    <w:rsid w:val="00B52A2D"/>
    <w:rsid w:val="00B535A1"/>
    <w:rsid w:val="00B55961"/>
    <w:rsid w:val="00B55FF5"/>
    <w:rsid w:val="00B610B0"/>
    <w:rsid w:val="00B62065"/>
    <w:rsid w:val="00B8553D"/>
    <w:rsid w:val="00B860B2"/>
    <w:rsid w:val="00B86B95"/>
    <w:rsid w:val="00B875F5"/>
    <w:rsid w:val="00B937AA"/>
    <w:rsid w:val="00BC1315"/>
    <w:rsid w:val="00BC42E1"/>
    <w:rsid w:val="00BC58CC"/>
    <w:rsid w:val="00BC5F42"/>
    <w:rsid w:val="00BC71B5"/>
    <w:rsid w:val="00BD5C03"/>
    <w:rsid w:val="00BF4314"/>
    <w:rsid w:val="00C400FB"/>
    <w:rsid w:val="00C552C8"/>
    <w:rsid w:val="00C61B4A"/>
    <w:rsid w:val="00C66BC9"/>
    <w:rsid w:val="00C708C2"/>
    <w:rsid w:val="00C86CA2"/>
    <w:rsid w:val="00C86EB3"/>
    <w:rsid w:val="00CC3D83"/>
    <w:rsid w:val="00CC553F"/>
    <w:rsid w:val="00CD41D9"/>
    <w:rsid w:val="00CE216A"/>
    <w:rsid w:val="00D227DF"/>
    <w:rsid w:val="00D2293B"/>
    <w:rsid w:val="00D247CD"/>
    <w:rsid w:val="00D345CA"/>
    <w:rsid w:val="00D47D24"/>
    <w:rsid w:val="00D50BA3"/>
    <w:rsid w:val="00D53429"/>
    <w:rsid w:val="00D74B39"/>
    <w:rsid w:val="00D81324"/>
    <w:rsid w:val="00D966FC"/>
    <w:rsid w:val="00DB3213"/>
    <w:rsid w:val="00DD6DD2"/>
    <w:rsid w:val="00DE269D"/>
    <w:rsid w:val="00DE4AB1"/>
    <w:rsid w:val="00DF596D"/>
    <w:rsid w:val="00DF7E8A"/>
    <w:rsid w:val="00E07DAF"/>
    <w:rsid w:val="00E2509A"/>
    <w:rsid w:val="00E313D8"/>
    <w:rsid w:val="00E33AA1"/>
    <w:rsid w:val="00E34A7C"/>
    <w:rsid w:val="00E35825"/>
    <w:rsid w:val="00E55273"/>
    <w:rsid w:val="00E61D05"/>
    <w:rsid w:val="00E628DA"/>
    <w:rsid w:val="00E6367F"/>
    <w:rsid w:val="00E73DD6"/>
    <w:rsid w:val="00E77E94"/>
    <w:rsid w:val="00E81562"/>
    <w:rsid w:val="00EA084E"/>
    <w:rsid w:val="00EB5FA7"/>
    <w:rsid w:val="00EC692E"/>
    <w:rsid w:val="00ED6B05"/>
    <w:rsid w:val="00ED78B7"/>
    <w:rsid w:val="00EF7E87"/>
    <w:rsid w:val="00F1169C"/>
    <w:rsid w:val="00F1215A"/>
    <w:rsid w:val="00F321A2"/>
    <w:rsid w:val="00F36800"/>
    <w:rsid w:val="00F50F82"/>
    <w:rsid w:val="00F555CB"/>
    <w:rsid w:val="00F77452"/>
    <w:rsid w:val="00F94B3A"/>
    <w:rsid w:val="00FA5DC4"/>
    <w:rsid w:val="00FB33C5"/>
    <w:rsid w:val="00FB5287"/>
    <w:rsid w:val="00FC76E0"/>
    <w:rsid w:val="00FF2081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548A8-A55E-4647-BE3A-D1548EFD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72B5"/>
    <w:pPr>
      <w:ind w:firstLine="709"/>
      <w:jc w:val="center"/>
    </w:pPr>
    <w:rPr>
      <w:b/>
      <w:sz w:val="28"/>
      <w:szCs w:val="20"/>
      <w:lang w:val="uk-UA"/>
    </w:rPr>
  </w:style>
  <w:style w:type="table" w:styleId="a4">
    <w:name w:val="Table Grid"/>
    <w:basedOn w:val="a1"/>
    <w:rsid w:val="0087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A175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06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70613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Динаміка надходжень туристичного податку                                  за 2022-2024</a:t>
            </a:r>
            <a:r>
              <a:rPr lang="ru-RU" sz="1400" baseline="0"/>
              <a:t> </a:t>
            </a:r>
            <a:r>
              <a:rPr lang="ru-RU" sz="1400"/>
              <a:t>р.р. (станом на 01.01.2025р.), тис.грн.</a:t>
            </a:r>
          </a:p>
        </c:rich>
      </c:tx>
      <c:layout>
        <c:manualLayout>
          <c:xMode val="edge"/>
          <c:yMode val="edge"/>
          <c:x val="0.14137863296337019"/>
          <c:y val="2.215093741778791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tint val="66000"/>
                    <a:satMod val="160000"/>
                  </a:srgbClr>
                </a:gs>
                <a:gs pos="50000">
                  <a:srgbClr val="00B0F0">
                    <a:tint val="44500"/>
                    <a:satMod val="160000"/>
                  </a:srgbClr>
                </a:gs>
                <a:gs pos="100000">
                  <a:srgbClr val="00B0F0">
                    <a:tint val="23500"/>
                    <a:satMod val="160000"/>
                  </a:srgbClr>
                </a:gs>
              </a:gsLst>
              <a:lin ang="2700000" scaled="1"/>
              <a:tileRect/>
            </a:gradFill>
            <a:ln>
              <a:solidFill>
                <a:srgbClr val="1F497D">
                  <a:lumMod val="60000"/>
                  <a:lumOff val="40000"/>
                </a:srgb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рік</c:v>
                </c:pt>
                <c:pt idx="1">
                  <c:v>2023 рік</c:v>
                </c:pt>
                <c:pt idx="2">
                  <c:v>2024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111.9</c:v>
                </c:pt>
                <c:pt idx="1">
                  <c:v>283.2</c:v>
                </c:pt>
                <c:pt idx="2">
                  <c:v>470.7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151512"/>
        <c:axId val="404152296"/>
        <c:axId val="0"/>
      </c:bar3DChart>
      <c:catAx>
        <c:axId val="404151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404152296"/>
        <c:crosses val="autoZero"/>
        <c:auto val="1"/>
        <c:lblAlgn val="ctr"/>
        <c:lblOffset val="100"/>
        <c:noMultiLvlLbl val="0"/>
      </c:catAx>
      <c:valAx>
        <c:axId val="404152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041515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0.25539</cdr:x>
      <cdr:y>0.54955</cdr:y>
    </cdr:from>
    <cdr:to>
      <cdr:x>0.43946</cdr:x>
      <cdr:y>0.6461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V="1">
          <a:off x="1450800" y="1890352"/>
          <a:ext cx="1045648" cy="33211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0.52144</cdr:x>
      <cdr:y>0.36608</cdr:y>
    </cdr:from>
    <cdr:to>
      <cdr:x>0.69703</cdr:x>
      <cdr:y>0.45584</cdr:y>
    </cdr:to>
    <cdr:sp macro="" textlink="">
      <cdr:nvSpPr>
        <cdr:cNvPr id="13" name="Прямая со стрелкой 12"/>
        <cdr:cNvSpPr/>
      </cdr:nvSpPr>
      <cdr:spPr>
        <a:xfrm xmlns:a="http://schemas.openxmlformats.org/drawingml/2006/main" flipV="1">
          <a:off x="2962149" y="1259254"/>
          <a:ext cx="997476" cy="30875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0.48498</cdr:x>
      <cdr:y>0.32363</cdr:y>
    </cdr:from>
    <cdr:to>
      <cdr:x>0.66205</cdr:x>
      <cdr:y>0.42862</cdr:y>
    </cdr:to>
    <cdr:sp macro="" textlink="">
      <cdr:nvSpPr>
        <cdr:cNvPr id="15" name="TextBox 1"/>
        <cdr:cNvSpPr txBox="1"/>
      </cdr:nvSpPr>
      <cdr:spPr>
        <a:xfrm xmlns:a="http://schemas.openxmlformats.org/drawingml/2006/main" rot="20634500">
          <a:off x="2755040" y="1113233"/>
          <a:ext cx="1005883" cy="3611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/>
            <a:t>+  187,5 тис.грн.</a:t>
          </a:r>
        </a:p>
      </cdr:txBody>
    </cdr:sp>
  </cdr:relSizeAnchor>
  <cdr:relSizeAnchor xmlns:cdr="http://schemas.openxmlformats.org/drawingml/2006/chartDrawing">
    <cdr:from>
      <cdr:x>0.22948</cdr:x>
      <cdr:y>0.51494</cdr:y>
    </cdr:from>
    <cdr:to>
      <cdr:x>0.41139</cdr:x>
      <cdr:y>0.611</cdr:y>
    </cdr:to>
    <cdr:sp macro="" textlink="">
      <cdr:nvSpPr>
        <cdr:cNvPr id="16" name="TextBox 1"/>
        <cdr:cNvSpPr txBox="1"/>
      </cdr:nvSpPr>
      <cdr:spPr>
        <a:xfrm xmlns:a="http://schemas.openxmlformats.org/drawingml/2006/main" rot="20491564">
          <a:off x="1303606" y="1771274"/>
          <a:ext cx="1033378" cy="3304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/>
            <a:t>+  171,3</a:t>
          </a:r>
          <a:r>
            <a:rPr lang="ru-RU" sz="1100" b="1" baseline="0"/>
            <a:t> тис</a:t>
          </a:r>
          <a:r>
            <a:rPr lang="ru-RU" sz="1100" b="1"/>
            <a:t>.грн.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4EC1-88E2-43F8-9080-A7348B37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</vt:lpstr>
      <vt:lpstr>ЗВІТ</vt:lpstr>
    </vt:vector>
  </TitlesOfParts>
  <Company>Grizli777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kivanova</dc:creator>
  <cp:lastModifiedBy>203FU1</cp:lastModifiedBy>
  <cp:revision>600</cp:revision>
  <cp:lastPrinted>2025-01-10T08:45:00Z</cp:lastPrinted>
  <dcterms:created xsi:type="dcterms:W3CDTF">2016-10-07T13:11:00Z</dcterms:created>
  <dcterms:modified xsi:type="dcterms:W3CDTF">2025-01-13T07:20:00Z</dcterms:modified>
</cp:coreProperties>
</file>