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1B" w:rsidRDefault="005C0F1B" w:rsidP="009441A5">
      <w:pPr>
        <w:pStyle w:val="a3"/>
        <w:tabs>
          <w:tab w:val="left" w:pos="6761"/>
        </w:tabs>
        <w:ind w:firstLine="0"/>
        <w:rPr>
          <w:sz w:val="24"/>
          <w:szCs w:val="24"/>
        </w:rPr>
      </w:pPr>
    </w:p>
    <w:p w:rsidR="009441A5" w:rsidRDefault="009441A5" w:rsidP="009441A5">
      <w:pPr>
        <w:pStyle w:val="a3"/>
        <w:tabs>
          <w:tab w:val="left" w:pos="6761"/>
        </w:tabs>
        <w:ind w:firstLine="0"/>
        <w:rPr>
          <w:sz w:val="24"/>
          <w:szCs w:val="24"/>
        </w:rPr>
      </w:pPr>
      <w:r w:rsidRPr="00027DCF">
        <w:rPr>
          <w:sz w:val="24"/>
          <w:szCs w:val="24"/>
        </w:rPr>
        <w:t>ЗВІТ</w:t>
      </w:r>
    </w:p>
    <w:p w:rsidR="009441A5" w:rsidRPr="00027DCF" w:rsidRDefault="009441A5" w:rsidP="009441A5">
      <w:pPr>
        <w:pStyle w:val="a3"/>
        <w:tabs>
          <w:tab w:val="left" w:pos="6761"/>
        </w:tabs>
        <w:ind w:firstLine="0"/>
        <w:rPr>
          <w:sz w:val="24"/>
          <w:szCs w:val="24"/>
        </w:rPr>
      </w:pPr>
    </w:p>
    <w:p w:rsidR="009441A5" w:rsidRPr="00444904" w:rsidRDefault="002E5AA4" w:rsidP="009441A5">
      <w:pPr>
        <w:pStyle w:val="a3"/>
        <w:tabs>
          <w:tab w:val="left" w:pos="6761"/>
        </w:tabs>
        <w:ind w:firstLine="0"/>
        <w:rPr>
          <w:b w:val="0"/>
          <w:szCs w:val="28"/>
        </w:rPr>
      </w:pPr>
      <w:r>
        <w:rPr>
          <w:b w:val="0"/>
          <w:szCs w:val="28"/>
        </w:rPr>
        <w:t>П</w:t>
      </w:r>
      <w:r w:rsidR="009441A5" w:rsidRPr="00444904">
        <w:rPr>
          <w:b w:val="0"/>
          <w:szCs w:val="28"/>
        </w:rPr>
        <w:t xml:space="preserve">ро </w:t>
      </w:r>
      <w:r w:rsidR="0067574E">
        <w:rPr>
          <w:b w:val="0"/>
          <w:szCs w:val="28"/>
        </w:rPr>
        <w:t>періодич</w:t>
      </w:r>
      <w:r w:rsidR="00AA603E" w:rsidRPr="00444904">
        <w:rPr>
          <w:b w:val="0"/>
          <w:szCs w:val="28"/>
        </w:rPr>
        <w:t>н</w:t>
      </w:r>
      <w:r w:rsidR="009441A5" w:rsidRPr="00444904">
        <w:rPr>
          <w:b w:val="0"/>
          <w:szCs w:val="28"/>
        </w:rPr>
        <w:t>е відстеження результативності регуляторного акта –</w:t>
      </w:r>
    </w:p>
    <w:p w:rsidR="009441A5" w:rsidRPr="00960982" w:rsidRDefault="009441A5" w:rsidP="009441A5">
      <w:pPr>
        <w:jc w:val="center"/>
        <w:rPr>
          <w:sz w:val="28"/>
          <w:szCs w:val="28"/>
          <w:lang w:val="uk-UA"/>
        </w:rPr>
      </w:pPr>
      <w:r w:rsidRPr="00960982">
        <w:rPr>
          <w:sz w:val="28"/>
          <w:szCs w:val="28"/>
          <w:lang w:val="uk-UA"/>
        </w:rPr>
        <w:t xml:space="preserve">рішення </w:t>
      </w:r>
      <w:r>
        <w:rPr>
          <w:sz w:val="28"/>
          <w:szCs w:val="28"/>
          <w:lang w:val="uk-UA"/>
        </w:rPr>
        <w:t>Чорноморської</w:t>
      </w:r>
      <w:r w:rsidRPr="00960982">
        <w:rPr>
          <w:sz w:val="28"/>
          <w:szCs w:val="28"/>
          <w:lang w:val="uk-UA"/>
        </w:rPr>
        <w:t xml:space="preserve"> міської ради</w:t>
      </w:r>
      <w:r w:rsidR="00A113EB">
        <w:rPr>
          <w:sz w:val="28"/>
          <w:szCs w:val="28"/>
          <w:lang w:val="uk-UA"/>
        </w:rPr>
        <w:t xml:space="preserve"> Одеського району Одеської області</w:t>
      </w:r>
    </w:p>
    <w:p w:rsidR="007C29B8" w:rsidRPr="00960982" w:rsidRDefault="007C29B8" w:rsidP="007C29B8">
      <w:pPr>
        <w:jc w:val="center"/>
        <w:rPr>
          <w:sz w:val="28"/>
          <w:szCs w:val="28"/>
          <w:lang w:val="uk-UA"/>
        </w:rPr>
      </w:pPr>
      <w:r w:rsidRPr="00960982">
        <w:rPr>
          <w:sz w:val="28"/>
          <w:szCs w:val="28"/>
          <w:lang w:val="uk-UA"/>
        </w:rPr>
        <w:t xml:space="preserve">«Про </w:t>
      </w:r>
      <w:r>
        <w:rPr>
          <w:sz w:val="28"/>
          <w:szCs w:val="28"/>
          <w:lang w:val="uk-UA"/>
        </w:rPr>
        <w:t>встановлення</w:t>
      </w:r>
      <w:r w:rsidRPr="00960982">
        <w:rPr>
          <w:sz w:val="28"/>
          <w:szCs w:val="28"/>
          <w:lang w:val="uk-UA"/>
        </w:rPr>
        <w:t xml:space="preserve"> ставок </w:t>
      </w:r>
      <w:r w:rsidR="00FC739D">
        <w:rPr>
          <w:sz w:val="28"/>
          <w:szCs w:val="28"/>
          <w:lang w:val="uk-UA"/>
        </w:rPr>
        <w:t>та пільг із сплати</w:t>
      </w:r>
      <w:r>
        <w:rPr>
          <w:sz w:val="28"/>
          <w:szCs w:val="28"/>
          <w:lang w:val="uk-UA"/>
        </w:rPr>
        <w:t xml:space="preserve"> податку на нерухоме майно</w:t>
      </w:r>
      <w:r w:rsidR="00FC739D">
        <w:rPr>
          <w:sz w:val="28"/>
          <w:szCs w:val="28"/>
          <w:lang w:val="uk-UA"/>
        </w:rPr>
        <w:t>,</w:t>
      </w:r>
      <w:r>
        <w:rPr>
          <w:sz w:val="28"/>
          <w:szCs w:val="28"/>
          <w:lang w:val="uk-UA"/>
        </w:rPr>
        <w:t xml:space="preserve"> відмінне від земельної ділянки, на території Чорноморської міської ради</w:t>
      </w:r>
      <w:r w:rsidR="006C2E1F">
        <w:rPr>
          <w:sz w:val="28"/>
          <w:szCs w:val="28"/>
          <w:lang w:val="uk-UA"/>
        </w:rPr>
        <w:t xml:space="preserve"> О</w:t>
      </w:r>
      <w:r w:rsidR="00A113EB">
        <w:rPr>
          <w:sz w:val="28"/>
          <w:szCs w:val="28"/>
          <w:lang w:val="uk-UA"/>
        </w:rPr>
        <w:t>деського району</w:t>
      </w:r>
      <w:r>
        <w:rPr>
          <w:sz w:val="28"/>
          <w:szCs w:val="28"/>
          <w:lang w:val="uk-UA"/>
        </w:rPr>
        <w:t xml:space="preserve"> Одеської </w:t>
      </w:r>
      <w:r w:rsidR="00FC739D">
        <w:rPr>
          <w:sz w:val="28"/>
          <w:szCs w:val="28"/>
          <w:lang w:val="uk-UA"/>
        </w:rPr>
        <w:t>області</w:t>
      </w:r>
      <w:r w:rsidR="00016520">
        <w:rPr>
          <w:sz w:val="28"/>
          <w:szCs w:val="28"/>
          <w:lang w:val="uk-UA"/>
        </w:rPr>
        <w:t>»</w:t>
      </w:r>
    </w:p>
    <w:p w:rsidR="009441A5" w:rsidRPr="00027DCF" w:rsidRDefault="009441A5" w:rsidP="009441A5">
      <w:pPr>
        <w:pStyle w:val="a3"/>
        <w:tabs>
          <w:tab w:val="left" w:pos="6761"/>
        </w:tabs>
        <w:ind w:firstLine="0"/>
        <w:rPr>
          <w:b w:val="0"/>
          <w:sz w:val="24"/>
          <w:szCs w:val="24"/>
        </w:rPr>
      </w:pPr>
    </w:p>
    <w:tbl>
      <w:tblPr>
        <w:tblStyle w:val="a5"/>
        <w:tblW w:w="10179" w:type="dxa"/>
        <w:tblInd w:w="-601" w:type="dxa"/>
        <w:tblLook w:val="01E0" w:firstRow="1" w:lastRow="1" w:firstColumn="1" w:lastColumn="1" w:noHBand="0" w:noVBand="0"/>
      </w:tblPr>
      <w:tblGrid>
        <w:gridCol w:w="648"/>
        <w:gridCol w:w="3322"/>
        <w:gridCol w:w="6209"/>
      </w:tblGrid>
      <w:tr w:rsidR="009441A5" w:rsidRPr="001928A3" w:rsidTr="00C51E7E">
        <w:tc>
          <w:tcPr>
            <w:tcW w:w="648" w:type="dxa"/>
            <w:tcBorders>
              <w:top w:val="single" w:sz="4" w:space="0" w:color="auto"/>
              <w:left w:val="single" w:sz="4" w:space="0" w:color="auto"/>
              <w:bottom w:val="single" w:sz="4" w:space="0" w:color="auto"/>
              <w:right w:val="single" w:sz="4" w:space="0" w:color="auto"/>
            </w:tcBorders>
          </w:tcPr>
          <w:p w:rsidR="009441A5" w:rsidRPr="00027DCF" w:rsidRDefault="009441A5" w:rsidP="008F6CDD">
            <w:pPr>
              <w:pStyle w:val="a3"/>
              <w:tabs>
                <w:tab w:val="left" w:pos="6761"/>
              </w:tabs>
              <w:ind w:firstLine="0"/>
              <w:rPr>
                <w:b w:val="0"/>
                <w:sz w:val="24"/>
                <w:szCs w:val="24"/>
              </w:rPr>
            </w:pPr>
            <w:r w:rsidRPr="00027DCF">
              <w:rPr>
                <w:b w:val="0"/>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9441A5" w:rsidRPr="00027DCF" w:rsidRDefault="009441A5" w:rsidP="00823345">
            <w:pPr>
              <w:pStyle w:val="a3"/>
              <w:tabs>
                <w:tab w:val="left" w:pos="6761"/>
              </w:tabs>
              <w:ind w:firstLine="0"/>
              <w:jc w:val="both"/>
              <w:rPr>
                <w:sz w:val="24"/>
                <w:szCs w:val="24"/>
              </w:rPr>
            </w:pPr>
            <w:r w:rsidRPr="00027DCF">
              <w:rPr>
                <w:sz w:val="24"/>
                <w:szCs w:val="24"/>
              </w:rPr>
              <w:t>Вид та назва регуляторного акта</w:t>
            </w:r>
          </w:p>
        </w:tc>
        <w:tc>
          <w:tcPr>
            <w:tcW w:w="6209" w:type="dxa"/>
            <w:tcBorders>
              <w:top w:val="single" w:sz="4" w:space="0" w:color="auto"/>
              <w:left w:val="single" w:sz="4" w:space="0" w:color="auto"/>
              <w:bottom w:val="single" w:sz="4" w:space="0" w:color="auto"/>
              <w:right w:val="single" w:sz="4" w:space="0" w:color="auto"/>
            </w:tcBorders>
          </w:tcPr>
          <w:p w:rsidR="009441A5" w:rsidRDefault="0035322F" w:rsidP="00B2237A">
            <w:pPr>
              <w:jc w:val="both"/>
              <w:rPr>
                <w:lang w:val="uk-UA"/>
              </w:rPr>
            </w:pPr>
            <w:r>
              <w:rPr>
                <w:lang w:val="uk-UA"/>
              </w:rPr>
              <w:t>Рішення Чорноморської міської ради</w:t>
            </w:r>
            <w:r w:rsidR="001928A3">
              <w:rPr>
                <w:lang w:val="uk-UA"/>
              </w:rPr>
              <w:t xml:space="preserve"> Одеського району</w:t>
            </w:r>
            <w:r>
              <w:rPr>
                <w:lang w:val="uk-UA"/>
              </w:rPr>
              <w:t xml:space="preserve"> Одеської області</w:t>
            </w:r>
            <w:r w:rsidR="004955FE">
              <w:rPr>
                <w:lang w:val="uk-UA"/>
              </w:rPr>
              <w:t xml:space="preserve"> від 19.06.2020р. </w:t>
            </w:r>
            <w:r w:rsidR="00245EDB">
              <w:rPr>
                <w:lang w:val="uk-UA"/>
              </w:rPr>
              <w:t>№ 567-VII</w:t>
            </w:r>
            <w:r w:rsidR="00F84E0B">
              <w:rPr>
                <w:lang w:val="uk-UA"/>
              </w:rPr>
              <w:t xml:space="preserve"> «</w:t>
            </w:r>
            <w:r w:rsidRPr="00F5266D">
              <w:rPr>
                <w:lang w:val="uk-UA"/>
              </w:rPr>
              <w:t>Про встановлення ставок та пільг із сплати податку на нерухоме майно, відмінне від земельної ділянки, на території Чорноморської міської ради</w:t>
            </w:r>
            <w:r w:rsidR="00A1257B">
              <w:rPr>
                <w:lang w:val="uk-UA"/>
              </w:rPr>
              <w:t xml:space="preserve"> Одеського району</w:t>
            </w:r>
            <w:r w:rsidRPr="00F5266D">
              <w:rPr>
                <w:lang w:val="uk-UA"/>
              </w:rPr>
              <w:t xml:space="preserve"> Од</w:t>
            </w:r>
            <w:r w:rsidR="00F84E0B">
              <w:rPr>
                <w:lang w:val="uk-UA"/>
              </w:rPr>
              <w:t>еської області»</w:t>
            </w:r>
          </w:p>
          <w:p w:rsidR="00D650BE" w:rsidRPr="004E6462" w:rsidRDefault="00C97352" w:rsidP="00B2237A">
            <w:pPr>
              <w:jc w:val="both"/>
              <w:rPr>
                <w:lang w:val="uk-UA"/>
              </w:rPr>
            </w:pPr>
            <w:r>
              <w:rPr>
                <w:lang w:val="uk-UA"/>
              </w:rPr>
              <w:t xml:space="preserve">(набрало чинності з 01 січня </w:t>
            </w:r>
            <w:r w:rsidR="00D650BE">
              <w:rPr>
                <w:lang w:val="uk-UA"/>
              </w:rPr>
              <w:t>2021 року)</w:t>
            </w:r>
            <w:r w:rsidR="00691724">
              <w:rPr>
                <w:lang w:val="uk-UA"/>
              </w:rPr>
              <w:t xml:space="preserve"> </w:t>
            </w:r>
          </w:p>
        </w:tc>
      </w:tr>
      <w:tr w:rsidR="009441A5" w:rsidRPr="00027DCF" w:rsidTr="004955FE">
        <w:tc>
          <w:tcPr>
            <w:tcW w:w="648" w:type="dxa"/>
            <w:tcBorders>
              <w:top w:val="single" w:sz="4" w:space="0" w:color="auto"/>
              <w:left w:val="single" w:sz="4" w:space="0" w:color="auto"/>
              <w:bottom w:val="single" w:sz="4" w:space="0" w:color="auto"/>
              <w:right w:val="single" w:sz="4" w:space="0" w:color="auto"/>
            </w:tcBorders>
          </w:tcPr>
          <w:p w:rsidR="009441A5" w:rsidRPr="00027DCF" w:rsidRDefault="00C05F75" w:rsidP="008F6CDD">
            <w:pPr>
              <w:pStyle w:val="a3"/>
              <w:tabs>
                <w:tab w:val="left" w:pos="6761"/>
              </w:tabs>
              <w:ind w:firstLine="0"/>
              <w:rPr>
                <w:b w:val="0"/>
                <w:sz w:val="24"/>
                <w:szCs w:val="24"/>
              </w:rPr>
            </w:pPr>
            <w:r>
              <w:rPr>
                <w:b w:val="0"/>
                <w:sz w:val="24"/>
                <w:szCs w:val="24"/>
              </w:rPr>
              <w:t>2</w:t>
            </w:r>
            <w:r w:rsidR="009441A5" w:rsidRPr="00027DCF">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D10074" w:rsidRPr="00027DCF" w:rsidRDefault="00A1257B" w:rsidP="00E84978">
            <w:pPr>
              <w:tabs>
                <w:tab w:val="left" w:pos="6761"/>
              </w:tabs>
              <w:rPr>
                <w:b/>
                <w:lang w:val="uk-UA"/>
              </w:rPr>
            </w:pPr>
            <w:r>
              <w:rPr>
                <w:b/>
                <w:lang w:val="uk-UA"/>
              </w:rPr>
              <w:t>Назва виконавця заходів з</w:t>
            </w:r>
            <w:r w:rsidR="00E84978">
              <w:rPr>
                <w:b/>
                <w:lang w:val="uk-UA"/>
              </w:rPr>
              <w:t xml:space="preserve"> </w:t>
            </w:r>
            <w:r w:rsidR="009441A5" w:rsidRPr="00027DCF">
              <w:rPr>
                <w:b/>
                <w:lang w:val="uk-UA"/>
              </w:rPr>
              <w:t>відстеження результативності</w:t>
            </w:r>
          </w:p>
        </w:tc>
        <w:tc>
          <w:tcPr>
            <w:tcW w:w="6209" w:type="dxa"/>
            <w:tcBorders>
              <w:top w:val="single" w:sz="4" w:space="0" w:color="auto"/>
              <w:left w:val="single" w:sz="4" w:space="0" w:color="auto"/>
              <w:bottom w:val="single" w:sz="4" w:space="0" w:color="auto"/>
              <w:right w:val="single" w:sz="4" w:space="0" w:color="auto"/>
            </w:tcBorders>
            <w:vAlign w:val="center"/>
          </w:tcPr>
          <w:p w:rsidR="009441A5" w:rsidRPr="00027DCF" w:rsidRDefault="009441A5" w:rsidP="004955FE">
            <w:pPr>
              <w:pStyle w:val="a3"/>
              <w:tabs>
                <w:tab w:val="left" w:pos="6761"/>
              </w:tabs>
              <w:ind w:firstLine="0"/>
              <w:jc w:val="left"/>
              <w:rPr>
                <w:b w:val="0"/>
                <w:sz w:val="24"/>
                <w:szCs w:val="24"/>
              </w:rPr>
            </w:pPr>
            <w:r>
              <w:rPr>
                <w:b w:val="0"/>
                <w:sz w:val="24"/>
                <w:szCs w:val="24"/>
              </w:rPr>
              <w:t>Фінансове управління Чорноморської міської ради</w:t>
            </w:r>
            <w:r w:rsidR="00D363B2">
              <w:rPr>
                <w:b w:val="0"/>
                <w:sz w:val="24"/>
                <w:szCs w:val="24"/>
              </w:rPr>
              <w:t xml:space="preserve"> Одеського району </w:t>
            </w:r>
            <w:r>
              <w:rPr>
                <w:b w:val="0"/>
                <w:sz w:val="24"/>
                <w:szCs w:val="24"/>
              </w:rPr>
              <w:t>Одеської області.</w:t>
            </w:r>
          </w:p>
        </w:tc>
      </w:tr>
      <w:tr w:rsidR="009441A5" w:rsidRPr="006761AF" w:rsidTr="00C51E7E">
        <w:tc>
          <w:tcPr>
            <w:tcW w:w="648" w:type="dxa"/>
            <w:tcBorders>
              <w:top w:val="single" w:sz="4" w:space="0" w:color="auto"/>
              <w:left w:val="single" w:sz="4" w:space="0" w:color="auto"/>
              <w:bottom w:val="single" w:sz="4" w:space="0" w:color="auto"/>
              <w:right w:val="single" w:sz="4" w:space="0" w:color="auto"/>
            </w:tcBorders>
          </w:tcPr>
          <w:p w:rsidR="009441A5" w:rsidRPr="00027DCF" w:rsidRDefault="00C05F75" w:rsidP="00C05F75">
            <w:pPr>
              <w:pStyle w:val="a3"/>
              <w:tabs>
                <w:tab w:val="left" w:pos="6761"/>
              </w:tabs>
              <w:ind w:firstLine="0"/>
              <w:rPr>
                <w:b w:val="0"/>
                <w:sz w:val="24"/>
                <w:szCs w:val="24"/>
              </w:rPr>
            </w:pPr>
            <w:r>
              <w:rPr>
                <w:b w:val="0"/>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9441A5" w:rsidRPr="00027DCF" w:rsidRDefault="009441A5" w:rsidP="008F6CDD">
            <w:pPr>
              <w:tabs>
                <w:tab w:val="left" w:pos="6761"/>
              </w:tabs>
              <w:jc w:val="both"/>
              <w:rPr>
                <w:b/>
                <w:lang w:val="uk-UA"/>
              </w:rPr>
            </w:pPr>
            <w:r w:rsidRPr="00027DCF">
              <w:rPr>
                <w:b/>
                <w:lang w:val="uk-UA"/>
              </w:rPr>
              <w:t>Цілі прийняття акта</w:t>
            </w:r>
          </w:p>
        </w:tc>
        <w:tc>
          <w:tcPr>
            <w:tcW w:w="6209" w:type="dxa"/>
            <w:tcBorders>
              <w:top w:val="single" w:sz="4" w:space="0" w:color="auto"/>
              <w:left w:val="single" w:sz="4" w:space="0" w:color="auto"/>
              <w:bottom w:val="single" w:sz="4" w:space="0" w:color="auto"/>
              <w:right w:val="single" w:sz="4" w:space="0" w:color="auto"/>
            </w:tcBorders>
          </w:tcPr>
          <w:p w:rsidR="009441A5" w:rsidRDefault="009441A5" w:rsidP="008F6CDD">
            <w:pPr>
              <w:jc w:val="both"/>
              <w:rPr>
                <w:color w:val="000000"/>
                <w:lang w:val="uk-UA"/>
              </w:rPr>
            </w:pPr>
            <w:r>
              <w:rPr>
                <w:color w:val="000000"/>
                <w:lang w:val="uk-UA"/>
              </w:rPr>
              <w:t>Прийнятий</w:t>
            </w:r>
            <w:r w:rsidRPr="00D0164E">
              <w:rPr>
                <w:color w:val="000000"/>
                <w:lang w:val="uk-UA"/>
              </w:rPr>
              <w:t xml:space="preserve"> регуляторн</w:t>
            </w:r>
            <w:r>
              <w:rPr>
                <w:color w:val="000000"/>
                <w:lang w:val="uk-UA"/>
              </w:rPr>
              <w:t>ий</w:t>
            </w:r>
            <w:r w:rsidRPr="00D0164E">
              <w:rPr>
                <w:color w:val="000000"/>
                <w:lang w:val="uk-UA"/>
              </w:rPr>
              <w:t xml:space="preserve"> акт спрямований</w:t>
            </w:r>
            <w:r w:rsidRPr="00D0164E">
              <w:rPr>
                <w:b/>
                <w:color w:val="000000"/>
                <w:lang w:val="uk-UA"/>
              </w:rPr>
              <w:t xml:space="preserve"> </w:t>
            </w:r>
            <w:r w:rsidRPr="00D0164E">
              <w:rPr>
                <w:color w:val="000000"/>
                <w:lang w:val="uk-UA"/>
              </w:rPr>
              <w:t>на</w:t>
            </w:r>
            <w:r>
              <w:rPr>
                <w:color w:val="000000"/>
                <w:lang w:val="uk-UA"/>
              </w:rPr>
              <w:t>:</w:t>
            </w:r>
          </w:p>
          <w:p w:rsidR="002A380E" w:rsidRPr="002A380E" w:rsidRDefault="002A380E" w:rsidP="002A380E">
            <w:pPr>
              <w:ind w:left="-36"/>
              <w:jc w:val="both"/>
              <w:rPr>
                <w:color w:val="000000"/>
                <w:lang w:val="uk-UA"/>
              </w:rPr>
            </w:pPr>
            <w:r>
              <w:rPr>
                <w:color w:val="000000"/>
                <w:lang w:val="uk-UA"/>
              </w:rPr>
              <w:t xml:space="preserve"> - з</w:t>
            </w:r>
            <w:r w:rsidRPr="002A380E">
              <w:rPr>
                <w:color w:val="000000"/>
                <w:lang w:val="uk-UA"/>
              </w:rPr>
              <w:t>абезпечення виконання норм Податкового кодексу України</w:t>
            </w:r>
            <w:r>
              <w:rPr>
                <w:color w:val="000000"/>
                <w:lang w:val="uk-UA"/>
              </w:rPr>
              <w:t xml:space="preserve"> щодо оподаткування нерухомості;</w:t>
            </w:r>
          </w:p>
          <w:p w:rsidR="002A380E" w:rsidRPr="002A380E" w:rsidRDefault="002A380E" w:rsidP="002A380E">
            <w:pPr>
              <w:ind w:left="-36"/>
              <w:jc w:val="both"/>
              <w:rPr>
                <w:color w:val="000000"/>
                <w:lang w:val="uk-UA"/>
              </w:rPr>
            </w:pPr>
            <w:r>
              <w:rPr>
                <w:color w:val="000000"/>
                <w:lang w:val="uk-UA"/>
              </w:rPr>
              <w:t>- ф</w:t>
            </w:r>
            <w:r w:rsidRPr="002A380E">
              <w:rPr>
                <w:color w:val="000000"/>
                <w:lang w:val="uk-UA"/>
              </w:rPr>
              <w:t>ормування стабільної бази доходів бюджету Чорноморської</w:t>
            </w:r>
            <w:r>
              <w:rPr>
                <w:color w:val="000000"/>
                <w:lang w:val="uk-UA"/>
              </w:rPr>
              <w:t xml:space="preserve"> міської територіальної громади;</w:t>
            </w:r>
          </w:p>
          <w:p w:rsidR="00CA0717" w:rsidRPr="006761AF" w:rsidRDefault="002A380E" w:rsidP="002A380E">
            <w:pPr>
              <w:jc w:val="both"/>
              <w:rPr>
                <w:lang w:val="uk-UA"/>
              </w:rPr>
            </w:pPr>
            <w:r>
              <w:rPr>
                <w:color w:val="000000"/>
                <w:lang w:val="uk-UA"/>
              </w:rPr>
              <w:t>- з</w:t>
            </w:r>
            <w:r w:rsidRPr="002A380E">
              <w:rPr>
                <w:color w:val="000000"/>
                <w:lang w:val="uk-UA"/>
              </w:rPr>
              <w:t>меншення податкового навантаження на малозахищені верстви населення та окремі категорії суб’єктів господарювання шляхом надання обґрунтованих пільг.</w:t>
            </w:r>
          </w:p>
        </w:tc>
      </w:tr>
      <w:tr w:rsidR="009441A5" w:rsidRPr="00027DCF" w:rsidTr="002A380E">
        <w:tc>
          <w:tcPr>
            <w:tcW w:w="648" w:type="dxa"/>
            <w:tcBorders>
              <w:top w:val="single" w:sz="4" w:space="0" w:color="auto"/>
              <w:left w:val="single" w:sz="4" w:space="0" w:color="auto"/>
              <w:bottom w:val="single" w:sz="4" w:space="0" w:color="auto"/>
              <w:right w:val="single" w:sz="4" w:space="0" w:color="auto"/>
            </w:tcBorders>
          </w:tcPr>
          <w:p w:rsidR="009441A5" w:rsidRPr="00027DCF" w:rsidRDefault="00C05F75" w:rsidP="008F6CDD">
            <w:pPr>
              <w:pStyle w:val="a3"/>
              <w:tabs>
                <w:tab w:val="left" w:pos="6761"/>
              </w:tabs>
              <w:ind w:firstLine="0"/>
              <w:rPr>
                <w:b w:val="0"/>
                <w:sz w:val="24"/>
                <w:szCs w:val="24"/>
              </w:rPr>
            </w:pPr>
            <w:r>
              <w:rPr>
                <w:b w:val="0"/>
                <w:sz w:val="24"/>
                <w:szCs w:val="24"/>
              </w:rPr>
              <w:t>4</w:t>
            </w:r>
            <w:r w:rsidR="009441A5" w:rsidRPr="00027DCF">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9441A5" w:rsidRPr="00027DCF" w:rsidRDefault="009441A5" w:rsidP="00E84978">
            <w:pPr>
              <w:tabs>
                <w:tab w:val="left" w:pos="6761"/>
              </w:tabs>
              <w:rPr>
                <w:b/>
                <w:lang w:val="uk-UA"/>
              </w:rPr>
            </w:pPr>
            <w:r w:rsidRPr="00027DCF">
              <w:rPr>
                <w:b/>
                <w:lang w:val="uk-UA"/>
              </w:rPr>
              <w:t>Строк виконання заходів з відстеження регуляторного акта</w:t>
            </w:r>
          </w:p>
        </w:tc>
        <w:tc>
          <w:tcPr>
            <w:tcW w:w="6209" w:type="dxa"/>
            <w:tcBorders>
              <w:top w:val="single" w:sz="4" w:space="0" w:color="auto"/>
              <w:left w:val="single" w:sz="4" w:space="0" w:color="auto"/>
              <w:bottom w:val="single" w:sz="4" w:space="0" w:color="auto"/>
              <w:right w:val="single" w:sz="4" w:space="0" w:color="auto"/>
            </w:tcBorders>
            <w:vAlign w:val="center"/>
          </w:tcPr>
          <w:p w:rsidR="00CA0717" w:rsidRPr="00290C3B" w:rsidRDefault="00D91E4D" w:rsidP="00A365A1">
            <w:pPr>
              <w:tabs>
                <w:tab w:val="left" w:pos="6761"/>
              </w:tabs>
              <w:rPr>
                <w:lang w:val="uk-UA"/>
              </w:rPr>
            </w:pPr>
            <w:r>
              <w:rPr>
                <w:lang w:val="uk-UA"/>
              </w:rPr>
              <w:t xml:space="preserve">Протягом </w:t>
            </w:r>
            <w:r w:rsidR="00A365A1">
              <w:rPr>
                <w:lang w:val="uk-UA"/>
              </w:rPr>
              <w:t>45-ти</w:t>
            </w:r>
            <w:r w:rsidR="00A924E4">
              <w:rPr>
                <w:lang w:val="uk-UA"/>
              </w:rPr>
              <w:t xml:space="preserve"> днів</w:t>
            </w:r>
            <w:r w:rsidR="00A365A1">
              <w:rPr>
                <w:lang w:val="uk-UA"/>
              </w:rPr>
              <w:t>.</w:t>
            </w:r>
          </w:p>
        </w:tc>
      </w:tr>
      <w:tr w:rsidR="009441A5" w:rsidRPr="00027DCF" w:rsidTr="00A365A1">
        <w:tc>
          <w:tcPr>
            <w:tcW w:w="648" w:type="dxa"/>
            <w:tcBorders>
              <w:top w:val="single" w:sz="4" w:space="0" w:color="auto"/>
              <w:left w:val="single" w:sz="4" w:space="0" w:color="auto"/>
              <w:bottom w:val="single" w:sz="4" w:space="0" w:color="auto"/>
              <w:right w:val="single" w:sz="4" w:space="0" w:color="auto"/>
            </w:tcBorders>
          </w:tcPr>
          <w:p w:rsidR="009441A5" w:rsidRPr="00027DCF" w:rsidRDefault="00C05F75" w:rsidP="008F6CDD">
            <w:pPr>
              <w:pStyle w:val="a3"/>
              <w:tabs>
                <w:tab w:val="left" w:pos="6761"/>
              </w:tabs>
              <w:ind w:firstLine="0"/>
              <w:rPr>
                <w:b w:val="0"/>
                <w:sz w:val="24"/>
                <w:szCs w:val="24"/>
              </w:rPr>
            </w:pPr>
            <w:r>
              <w:rPr>
                <w:b w:val="0"/>
                <w:sz w:val="24"/>
                <w:szCs w:val="24"/>
              </w:rPr>
              <w:t>5</w:t>
            </w:r>
            <w:r w:rsidR="009441A5" w:rsidRPr="00027DCF">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9441A5" w:rsidRPr="00027DCF" w:rsidRDefault="009441A5" w:rsidP="00E84978">
            <w:pPr>
              <w:tabs>
                <w:tab w:val="left" w:pos="6761"/>
              </w:tabs>
              <w:rPr>
                <w:b/>
                <w:lang w:val="uk-UA"/>
              </w:rPr>
            </w:pPr>
            <w:r w:rsidRPr="00027DCF">
              <w:rPr>
                <w:b/>
                <w:lang w:val="uk-UA"/>
              </w:rPr>
              <w:t>Тип відстеження регуляторного акта</w:t>
            </w:r>
            <w:r w:rsidR="00BC4887">
              <w:rPr>
                <w:b/>
                <w:lang w:val="uk-UA"/>
              </w:rPr>
              <w:t xml:space="preserve"> (базове, повторне, періодичне)</w:t>
            </w:r>
          </w:p>
        </w:tc>
        <w:tc>
          <w:tcPr>
            <w:tcW w:w="6209" w:type="dxa"/>
            <w:tcBorders>
              <w:top w:val="single" w:sz="4" w:space="0" w:color="auto"/>
              <w:left w:val="single" w:sz="4" w:space="0" w:color="auto"/>
              <w:bottom w:val="single" w:sz="4" w:space="0" w:color="auto"/>
              <w:right w:val="single" w:sz="4" w:space="0" w:color="auto"/>
            </w:tcBorders>
            <w:vAlign w:val="center"/>
          </w:tcPr>
          <w:p w:rsidR="009441A5" w:rsidRPr="00027DCF" w:rsidRDefault="009441A5" w:rsidP="00A365A1">
            <w:pPr>
              <w:tabs>
                <w:tab w:val="left" w:pos="6761"/>
              </w:tabs>
              <w:rPr>
                <w:lang w:val="uk-UA"/>
              </w:rPr>
            </w:pPr>
            <w:r w:rsidRPr="00027DCF">
              <w:rPr>
                <w:lang w:val="uk-UA"/>
              </w:rPr>
              <w:t>Здійснюється</w:t>
            </w:r>
            <w:r w:rsidR="00BC4887">
              <w:rPr>
                <w:lang w:val="uk-UA"/>
              </w:rPr>
              <w:t xml:space="preserve"> періодич</w:t>
            </w:r>
            <w:r w:rsidR="00E92B41">
              <w:rPr>
                <w:lang w:val="uk-UA"/>
              </w:rPr>
              <w:t>н</w:t>
            </w:r>
            <w:r>
              <w:rPr>
                <w:lang w:val="uk-UA"/>
              </w:rPr>
              <w:t>е</w:t>
            </w:r>
            <w:r w:rsidRPr="00027DCF">
              <w:rPr>
                <w:lang w:val="uk-UA"/>
              </w:rPr>
              <w:t xml:space="preserve"> відстеження результативності</w:t>
            </w:r>
            <w:r w:rsidR="00C361B4">
              <w:rPr>
                <w:lang w:val="uk-UA"/>
              </w:rPr>
              <w:t xml:space="preserve"> </w:t>
            </w:r>
            <w:r w:rsidRPr="00027DCF">
              <w:rPr>
                <w:lang w:val="uk-UA"/>
              </w:rPr>
              <w:t xml:space="preserve"> регуляторного акта.</w:t>
            </w:r>
          </w:p>
        </w:tc>
      </w:tr>
      <w:tr w:rsidR="009441A5" w:rsidRPr="006365CD" w:rsidTr="00C51E7E">
        <w:tc>
          <w:tcPr>
            <w:tcW w:w="648" w:type="dxa"/>
            <w:tcBorders>
              <w:top w:val="single" w:sz="4" w:space="0" w:color="auto"/>
              <w:left w:val="single" w:sz="4" w:space="0" w:color="auto"/>
              <w:bottom w:val="single" w:sz="4" w:space="0" w:color="auto"/>
              <w:right w:val="single" w:sz="4" w:space="0" w:color="auto"/>
            </w:tcBorders>
          </w:tcPr>
          <w:p w:rsidR="009441A5" w:rsidRPr="00027DCF" w:rsidRDefault="00C05F75" w:rsidP="008F6CDD">
            <w:pPr>
              <w:pStyle w:val="a3"/>
              <w:tabs>
                <w:tab w:val="left" w:pos="6761"/>
              </w:tabs>
              <w:ind w:firstLine="0"/>
              <w:rPr>
                <w:b w:val="0"/>
                <w:sz w:val="24"/>
                <w:szCs w:val="24"/>
              </w:rPr>
            </w:pPr>
            <w:r>
              <w:rPr>
                <w:b w:val="0"/>
                <w:sz w:val="24"/>
                <w:szCs w:val="24"/>
              </w:rPr>
              <w:t>6</w:t>
            </w:r>
            <w:r w:rsidR="009441A5" w:rsidRPr="00027DCF">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9441A5" w:rsidRPr="00027DCF" w:rsidRDefault="009441A5" w:rsidP="00E84978">
            <w:pPr>
              <w:tabs>
                <w:tab w:val="left" w:pos="6761"/>
              </w:tabs>
              <w:rPr>
                <w:b/>
                <w:lang w:val="uk-UA"/>
              </w:rPr>
            </w:pPr>
            <w:r w:rsidRPr="00027DCF">
              <w:rPr>
                <w:b/>
                <w:lang w:val="uk-UA"/>
              </w:rPr>
              <w:t>Методи одержання результатів відстеження</w:t>
            </w:r>
          </w:p>
        </w:tc>
        <w:tc>
          <w:tcPr>
            <w:tcW w:w="6209" w:type="dxa"/>
            <w:tcBorders>
              <w:top w:val="single" w:sz="4" w:space="0" w:color="auto"/>
              <w:left w:val="single" w:sz="4" w:space="0" w:color="auto"/>
              <w:bottom w:val="single" w:sz="4" w:space="0" w:color="auto"/>
              <w:right w:val="single" w:sz="4" w:space="0" w:color="auto"/>
            </w:tcBorders>
          </w:tcPr>
          <w:p w:rsidR="00CA0717" w:rsidRPr="00027DCF" w:rsidRDefault="007572BC" w:rsidP="008F6CDD">
            <w:pPr>
              <w:pStyle w:val="a3"/>
              <w:tabs>
                <w:tab w:val="left" w:pos="6761"/>
              </w:tabs>
              <w:ind w:firstLine="0"/>
              <w:jc w:val="both"/>
              <w:rPr>
                <w:b w:val="0"/>
                <w:sz w:val="24"/>
                <w:szCs w:val="24"/>
              </w:rPr>
            </w:pPr>
            <w:r w:rsidRPr="007572BC">
              <w:rPr>
                <w:b w:val="0"/>
                <w:sz w:val="24"/>
                <w:szCs w:val="24"/>
              </w:rPr>
              <w:t xml:space="preserve">Періодичне відстеження результативності зазначеного регуляторного акта здійснюється шляхом аналізу динаміки надходжень податку на нерухоме майно, відмінне від земельної ділянки, до бюджету Чорноморської міської територіальної громади; щоденного моніторингу кількості платників податку </w:t>
            </w:r>
            <w:r w:rsidR="00455085">
              <w:rPr>
                <w:b w:val="0"/>
                <w:sz w:val="24"/>
                <w:szCs w:val="24"/>
              </w:rPr>
              <w:t xml:space="preserve">                 </w:t>
            </w:r>
            <w:r w:rsidRPr="007572BC">
              <w:rPr>
                <w:b w:val="0"/>
                <w:sz w:val="24"/>
                <w:szCs w:val="24"/>
              </w:rPr>
              <w:t>та своєчасності його сплати; оцінки соціально-економічних показників, включаючи рівень податкового навантаження; а також порівняння ставок і пільг із практикою, впровадженою в інших територіальних громадах.</w:t>
            </w:r>
          </w:p>
        </w:tc>
      </w:tr>
      <w:tr w:rsidR="009441A5" w:rsidRPr="004955FE" w:rsidTr="003C0215">
        <w:tc>
          <w:tcPr>
            <w:tcW w:w="648" w:type="dxa"/>
            <w:tcBorders>
              <w:top w:val="single" w:sz="4" w:space="0" w:color="auto"/>
              <w:left w:val="single" w:sz="4" w:space="0" w:color="auto"/>
              <w:bottom w:val="single" w:sz="4" w:space="0" w:color="auto"/>
              <w:right w:val="single" w:sz="4" w:space="0" w:color="auto"/>
            </w:tcBorders>
          </w:tcPr>
          <w:p w:rsidR="009441A5" w:rsidRPr="00A25224" w:rsidRDefault="00C05F75" w:rsidP="008F6CDD">
            <w:pPr>
              <w:pStyle w:val="a3"/>
              <w:tabs>
                <w:tab w:val="left" w:pos="6761"/>
              </w:tabs>
              <w:ind w:firstLine="0"/>
              <w:rPr>
                <w:b w:val="0"/>
                <w:sz w:val="24"/>
                <w:szCs w:val="24"/>
              </w:rPr>
            </w:pPr>
            <w:r>
              <w:rPr>
                <w:b w:val="0"/>
                <w:sz w:val="24"/>
                <w:szCs w:val="24"/>
              </w:rPr>
              <w:t>7</w:t>
            </w:r>
            <w:r w:rsidR="009441A5" w:rsidRPr="00A25224">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9441A5" w:rsidRPr="00A25224" w:rsidRDefault="009441A5" w:rsidP="003B38B2">
            <w:pPr>
              <w:tabs>
                <w:tab w:val="left" w:pos="6761"/>
              </w:tabs>
              <w:rPr>
                <w:b/>
                <w:lang w:val="uk-UA"/>
              </w:rPr>
            </w:pPr>
            <w:r w:rsidRPr="00A25224">
              <w:rPr>
                <w:b/>
                <w:lang w:val="uk-UA"/>
              </w:rPr>
              <w:t xml:space="preserve">Дані </w:t>
            </w:r>
            <w:r w:rsidR="003B38B2" w:rsidRPr="003B38B2">
              <w:rPr>
                <w:b/>
                <w:lang w:val="uk-UA"/>
              </w:rPr>
              <w:t xml:space="preserve">та припущення, </w:t>
            </w:r>
            <w:r w:rsidR="00186308">
              <w:rPr>
                <w:b/>
                <w:lang w:val="uk-UA"/>
              </w:rPr>
              <w:t xml:space="preserve"> </w:t>
            </w:r>
            <w:r w:rsidRPr="00A25224">
              <w:rPr>
                <w:b/>
                <w:lang w:val="uk-UA"/>
              </w:rPr>
              <w:t>на</w:t>
            </w:r>
            <w:r w:rsidR="00186308">
              <w:rPr>
                <w:b/>
                <w:lang w:val="uk-UA"/>
              </w:rPr>
              <w:t xml:space="preserve"> </w:t>
            </w:r>
            <w:r w:rsidRPr="00A25224">
              <w:rPr>
                <w:b/>
                <w:lang w:val="uk-UA"/>
              </w:rPr>
              <w:t xml:space="preserve"> основі яких </w:t>
            </w:r>
            <w:r w:rsidR="00186308">
              <w:rPr>
                <w:b/>
                <w:lang w:val="uk-UA"/>
              </w:rPr>
              <w:t xml:space="preserve"> </w:t>
            </w:r>
            <w:r w:rsidRPr="00A25224">
              <w:rPr>
                <w:b/>
                <w:lang w:val="uk-UA"/>
              </w:rPr>
              <w:t>відстежувалась результативність, а також способи одержання даних</w:t>
            </w:r>
          </w:p>
        </w:tc>
        <w:tc>
          <w:tcPr>
            <w:tcW w:w="6209" w:type="dxa"/>
            <w:tcBorders>
              <w:top w:val="single" w:sz="4" w:space="0" w:color="auto"/>
              <w:left w:val="single" w:sz="4" w:space="0" w:color="auto"/>
              <w:bottom w:val="single" w:sz="4" w:space="0" w:color="auto"/>
              <w:right w:val="single" w:sz="4" w:space="0" w:color="auto"/>
            </w:tcBorders>
            <w:vAlign w:val="center"/>
          </w:tcPr>
          <w:p w:rsidR="00BE4872" w:rsidRPr="00BE4872" w:rsidRDefault="00BE4872" w:rsidP="00BE4872">
            <w:pPr>
              <w:tabs>
                <w:tab w:val="left" w:pos="6761"/>
              </w:tabs>
              <w:jc w:val="both"/>
              <w:rPr>
                <w:lang w:val="uk-UA"/>
              </w:rPr>
            </w:pPr>
            <w:r w:rsidRPr="00BE4872">
              <w:rPr>
                <w:lang w:val="uk-UA"/>
              </w:rPr>
              <w:t>Відстеження результативності регуляторного акта здійснюється відповідно до вимог Закону України «Про засади державної регуляторної політики у сфері господарської діяльності» та Методики проведення аналізу впливу і відстеження результативності регуляторного акта, затвердженої постановою Кабінету Міністрів України від 11.03.2004 № 308 (із змінами та доповненнями).</w:t>
            </w:r>
            <w:r>
              <w:rPr>
                <w:lang w:val="uk-UA"/>
              </w:rPr>
              <w:t xml:space="preserve"> </w:t>
            </w:r>
            <w:r w:rsidRPr="00BE4872">
              <w:rPr>
                <w:lang w:val="uk-UA"/>
              </w:rPr>
              <w:t>Для аналізу результативності рішення використовувалися дані про надходження податку на нерухоме майно, відмінне від земельної ділянки, до бюджету Чорноморської міської територіальної громади</w:t>
            </w:r>
            <w:r w:rsidR="00695267">
              <w:rPr>
                <w:lang w:val="uk-UA"/>
              </w:rPr>
              <w:t xml:space="preserve"> </w:t>
            </w:r>
            <w:r w:rsidR="00695267" w:rsidRPr="00695267">
              <w:rPr>
                <w:lang w:val="uk-UA"/>
              </w:rPr>
              <w:lastRenderedPageBreak/>
              <w:t>Одеського району Одеської області</w:t>
            </w:r>
            <w:r w:rsidRPr="00BE4872">
              <w:rPr>
                <w:lang w:val="uk-UA"/>
              </w:rPr>
              <w:t>, а також кількість платників цього податку. Основні припущення базувалися на прогнозах економічної активності платників податку та оцінці впливу ставок і пільг на фінансове становище громади</w:t>
            </w:r>
            <w:r w:rsidR="003B342C">
              <w:rPr>
                <w:lang w:val="uk-UA"/>
              </w:rPr>
              <w:t>.</w:t>
            </w:r>
          </w:p>
          <w:p w:rsidR="008E4C00" w:rsidRPr="00F960BB" w:rsidRDefault="00922E9C" w:rsidP="005F5BA5">
            <w:pPr>
              <w:tabs>
                <w:tab w:val="left" w:pos="6761"/>
              </w:tabs>
              <w:jc w:val="both"/>
              <w:rPr>
                <w:lang w:val="uk-UA"/>
              </w:rPr>
            </w:pPr>
            <w:r>
              <w:rPr>
                <w:lang w:val="uk-UA"/>
              </w:rPr>
              <w:t xml:space="preserve">    </w:t>
            </w:r>
            <w:r w:rsidR="00BE4872" w:rsidRPr="00BE4872">
              <w:rPr>
                <w:lang w:val="uk-UA"/>
              </w:rPr>
              <w:t xml:space="preserve">Оцінювалися показники виконання бюджету, обсяг податкових надходжень і потенційні соціально-економічні наслідки для громади. Дані були отримані </w:t>
            </w:r>
            <w:r w:rsidR="005F5BA5">
              <w:rPr>
                <w:lang w:val="uk-UA"/>
              </w:rPr>
              <w:t xml:space="preserve"> із </w:t>
            </w:r>
            <w:r w:rsidR="00BE4872" w:rsidRPr="00BE4872">
              <w:rPr>
                <w:lang w:val="uk-UA"/>
              </w:rPr>
              <w:t xml:space="preserve"> звіт</w:t>
            </w:r>
            <w:r w:rsidR="005F5BA5">
              <w:rPr>
                <w:lang w:val="uk-UA"/>
              </w:rPr>
              <w:t>ів</w:t>
            </w:r>
            <w:r w:rsidR="00BE4872" w:rsidRPr="00BE4872">
              <w:rPr>
                <w:lang w:val="uk-UA"/>
              </w:rPr>
              <w:t xml:space="preserve"> фінансового управління Чорноморської міської</w:t>
            </w:r>
            <w:r w:rsidR="005F5BA5">
              <w:rPr>
                <w:lang w:val="uk-UA"/>
              </w:rPr>
              <w:t xml:space="preserve"> Одеського району Одеської області</w:t>
            </w:r>
            <w:r w:rsidR="00BE4872" w:rsidRPr="00BE4872">
              <w:rPr>
                <w:lang w:val="uk-UA"/>
              </w:rPr>
              <w:t xml:space="preserve"> ради та моніторинг динаміки змін у кількості платників податку. Проведення порівняльного аналізу з показниками попередніх років дозволило оцінити ефективність регуляторного акта, його вплив на наповнення бюджету, зменшення податкового навантаження на малозахищені категорії населення та розвиток підприємництва в громаді.</w:t>
            </w:r>
          </w:p>
        </w:tc>
      </w:tr>
      <w:tr w:rsidR="009441A5" w:rsidRPr="004C49DF" w:rsidTr="00695267">
        <w:tc>
          <w:tcPr>
            <w:tcW w:w="648" w:type="dxa"/>
            <w:tcBorders>
              <w:top w:val="single" w:sz="4" w:space="0" w:color="auto"/>
              <w:left w:val="single" w:sz="4" w:space="0" w:color="auto"/>
              <w:bottom w:val="single" w:sz="4" w:space="0" w:color="auto"/>
              <w:right w:val="single" w:sz="4" w:space="0" w:color="auto"/>
            </w:tcBorders>
          </w:tcPr>
          <w:p w:rsidR="009441A5" w:rsidRPr="00A25224" w:rsidRDefault="00C05F75" w:rsidP="008F6CDD">
            <w:pPr>
              <w:pStyle w:val="a3"/>
              <w:tabs>
                <w:tab w:val="left" w:pos="6761"/>
              </w:tabs>
              <w:ind w:firstLine="0"/>
              <w:rPr>
                <w:b w:val="0"/>
                <w:sz w:val="24"/>
                <w:szCs w:val="24"/>
              </w:rPr>
            </w:pPr>
            <w:r>
              <w:rPr>
                <w:b w:val="0"/>
                <w:sz w:val="24"/>
                <w:szCs w:val="24"/>
              </w:rPr>
              <w:lastRenderedPageBreak/>
              <w:t>8</w:t>
            </w:r>
            <w:r w:rsidR="009441A5" w:rsidRPr="00A25224">
              <w:rPr>
                <w:b w:val="0"/>
                <w:sz w:val="24"/>
                <w:szCs w:val="24"/>
              </w:rPr>
              <w:t>.</w:t>
            </w:r>
          </w:p>
        </w:tc>
        <w:tc>
          <w:tcPr>
            <w:tcW w:w="3322" w:type="dxa"/>
            <w:tcBorders>
              <w:top w:val="single" w:sz="4" w:space="0" w:color="auto"/>
              <w:left w:val="single" w:sz="4" w:space="0" w:color="auto"/>
              <w:bottom w:val="single" w:sz="4" w:space="0" w:color="auto"/>
              <w:right w:val="single" w:sz="4" w:space="0" w:color="auto"/>
            </w:tcBorders>
          </w:tcPr>
          <w:p w:rsidR="009441A5" w:rsidRPr="00A25224" w:rsidRDefault="009441A5" w:rsidP="00695267">
            <w:pPr>
              <w:tabs>
                <w:tab w:val="left" w:pos="6761"/>
              </w:tabs>
              <w:jc w:val="both"/>
              <w:rPr>
                <w:b/>
                <w:lang w:val="uk-UA"/>
              </w:rPr>
            </w:pPr>
            <w:r w:rsidRPr="00A25224">
              <w:rPr>
                <w:b/>
                <w:lang w:val="uk-UA"/>
              </w:rPr>
              <w:t>Кількісні та якісні значення показників результативності акта</w:t>
            </w:r>
          </w:p>
        </w:tc>
        <w:tc>
          <w:tcPr>
            <w:tcW w:w="6209" w:type="dxa"/>
            <w:tcBorders>
              <w:top w:val="single" w:sz="4" w:space="0" w:color="auto"/>
              <w:left w:val="single" w:sz="4" w:space="0" w:color="auto"/>
              <w:bottom w:val="single" w:sz="4" w:space="0" w:color="auto"/>
              <w:right w:val="single" w:sz="4" w:space="0" w:color="auto"/>
            </w:tcBorders>
            <w:vAlign w:val="center"/>
          </w:tcPr>
          <w:p w:rsidR="00CA0717" w:rsidRPr="00D2293B" w:rsidRDefault="004C49DF" w:rsidP="00307F8E">
            <w:pPr>
              <w:ind w:left="-36"/>
              <w:jc w:val="both"/>
              <w:rPr>
                <w:lang w:val="uk-UA"/>
              </w:rPr>
            </w:pPr>
            <w:r>
              <w:rPr>
                <w:color w:val="000000"/>
                <w:lang w:val="uk-UA"/>
              </w:rPr>
              <w:t>Показники результативності</w:t>
            </w:r>
            <w:r w:rsidR="00307F8E">
              <w:rPr>
                <w:color w:val="000000"/>
                <w:lang w:val="uk-UA"/>
              </w:rPr>
              <w:t xml:space="preserve"> проаналізовані за 2022 – </w:t>
            </w:r>
            <w:r>
              <w:rPr>
                <w:color w:val="000000"/>
                <w:lang w:val="uk-UA"/>
              </w:rPr>
              <w:t>202</w:t>
            </w:r>
            <w:r w:rsidR="00695267">
              <w:rPr>
                <w:color w:val="000000"/>
                <w:lang w:val="uk-UA"/>
              </w:rPr>
              <w:t>4</w:t>
            </w:r>
            <w:r>
              <w:rPr>
                <w:color w:val="000000"/>
                <w:lang w:val="uk-UA"/>
              </w:rPr>
              <w:t xml:space="preserve"> </w:t>
            </w:r>
            <w:r w:rsidR="00307F8E">
              <w:rPr>
                <w:color w:val="000000"/>
                <w:lang w:val="uk-UA"/>
              </w:rPr>
              <w:t>роки</w:t>
            </w:r>
            <w:r>
              <w:rPr>
                <w:color w:val="000000"/>
                <w:lang w:val="uk-UA"/>
              </w:rPr>
              <w:t xml:space="preserve">                                       </w:t>
            </w:r>
          </w:p>
        </w:tc>
      </w:tr>
    </w:tbl>
    <w:p w:rsidR="00F80CC8" w:rsidRDefault="00F80CC8" w:rsidP="009441A5">
      <w:pPr>
        <w:tabs>
          <w:tab w:val="left" w:pos="6761"/>
        </w:tabs>
        <w:rPr>
          <w:lang w:val="uk-UA"/>
        </w:rPr>
      </w:pPr>
    </w:p>
    <w:p w:rsidR="004C49DF" w:rsidRDefault="00773F64" w:rsidP="00773F64">
      <w:pPr>
        <w:tabs>
          <w:tab w:val="left" w:pos="6761"/>
        </w:tabs>
        <w:ind w:left="-426" w:firstLine="426"/>
        <w:rPr>
          <w:lang w:val="uk-UA"/>
        </w:rPr>
      </w:pPr>
      <w:r w:rsidRPr="00A57C80">
        <w:rPr>
          <w:b/>
          <w:noProof/>
        </w:rPr>
        <w:drawing>
          <wp:inline distT="0" distB="0" distL="0" distR="0" wp14:anchorId="5E219666" wp14:editId="4993A038">
            <wp:extent cx="5681345" cy="291812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0CC8" w:rsidRDefault="00F80CC8" w:rsidP="009441A5">
      <w:pPr>
        <w:tabs>
          <w:tab w:val="left" w:pos="6761"/>
        </w:tabs>
        <w:rPr>
          <w:lang w:val="uk-UA"/>
        </w:rPr>
      </w:pPr>
    </w:p>
    <w:p w:rsidR="00A83EF2" w:rsidRPr="00A83EF2" w:rsidRDefault="00A83EF2" w:rsidP="00A83EF2">
      <w:pPr>
        <w:jc w:val="center"/>
        <w:rPr>
          <w:b/>
          <w:lang w:val="uk-UA"/>
        </w:rPr>
      </w:pPr>
      <w:r w:rsidRPr="00A83EF2">
        <w:rPr>
          <w:b/>
          <w:lang w:val="uk-UA"/>
        </w:rPr>
        <w:t>Кількість платників податку на нерухоме майно, відмінне від земельної ділянки.</w:t>
      </w:r>
    </w:p>
    <w:p w:rsidR="00A83EF2" w:rsidRDefault="00A83EF2" w:rsidP="009441A5">
      <w:pPr>
        <w:tabs>
          <w:tab w:val="left" w:pos="6761"/>
        </w:tabs>
        <w:rPr>
          <w:lang w:val="uk-UA"/>
        </w:rPr>
      </w:pPr>
    </w:p>
    <w:tbl>
      <w:tblPr>
        <w:tblStyle w:val="a5"/>
        <w:tblW w:w="10080" w:type="dxa"/>
        <w:tblInd w:w="-432" w:type="dxa"/>
        <w:tblLook w:val="04A0" w:firstRow="1" w:lastRow="0" w:firstColumn="1" w:lastColumn="0" w:noHBand="0" w:noVBand="1"/>
      </w:tblPr>
      <w:tblGrid>
        <w:gridCol w:w="1326"/>
        <w:gridCol w:w="1393"/>
        <w:gridCol w:w="1393"/>
        <w:gridCol w:w="979"/>
        <w:gridCol w:w="1393"/>
        <w:gridCol w:w="1393"/>
        <w:gridCol w:w="980"/>
        <w:gridCol w:w="1223"/>
      </w:tblGrid>
      <w:tr w:rsidR="00A83EF2" w:rsidRPr="006C67D5" w:rsidTr="003555E5">
        <w:trPr>
          <w:trHeight w:val="408"/>
        </w:trPr>
        <w:tc>
          <w:tcPr>
            <w:tcW w:w="1326" w:type="dxa"/>
            <w:vMerge w:val="restart"/>
          </w:tcPr>
          <w:p w:rsidR="00A83EF2" w:rsidRDefault="00A83EF2" w:rsidP="00765377">
            <w:pPr>
              <w:tabs>
                <w:tab w:val="left" w:pos="6761"/>
              </w:tabs>
              <w:jc w:val="center"/>
              <w:rPr>
                <w:b/>
                <w:lang w:val="uk-UA"/>
              </w:rPr>
            </w:pPr>
          </w:p>
          <w:p w:rsidR="00A83EF2" w:rsidRDefault="00A83EF2" w:rsidP="00765377">
            <w:pPr>
              <w:tabs>
                <w:tab w:val="left" w:pos="6761"/>
              </w:tabs>
              <w:jc w:val="center"/>
              <w:rPr>
                <w:b/>
                <w:lang w:val="uk-UA"/>
              </w:rPr>
            </w:pPr>
          </w:p>
          <w:p w:rsidR="00A83EF2" w:rsidRDefault="003555E5" w:rsidP="00765377">
            <w:pPr>
              <w:tabs>
                <w:tab w:val="left" w:pos="6761"/>
              </w:tabs>
              <w:jc w:val="center"/>
              <w:rPr>
                <w:b/>
                <w:lang w:val="uk-UA"/>
              </w:rPr>
            </w:pPr>
            <w:r>
              <w:rPr>
                <w:b/>
                <w:lang w:val="uk-UA"/>
              </w:rPr>
              <w:t>Р</w:t>
            </w:r>
            <w:r w:rsidR="00A83EF2">
              <w:rPr>
                <w:b/>
                <w:lang w:val="uk-UA"/>
              </w:rPr>
              <w:t>ік</w:t>
            </w:r>
          </w:p>
        </w:tc>
        <w:tc>
          <w:tcPr>
            <w:tcW w:w="3765" w:type="dxa"/>
            <w:gridSpan w:val="3"/>
            <w:vAlign w:val="center"/>
          </w:tcPr>
          <w:p w:rsidR="00A83EF2" w:rsidRPr="006C67D5" w:rsidRDefault="00A83EF2" w:rsidP="003555E5">
            <w:pPr>
              <w:tabs>
                <w:tab w:val="left" w:pos="6761"/>
              </w:tabs>
              <w:jc w:val="center"/>
              <w:rPr>
                <w:b/>
                <w:sz w:val="20"/>
                <w:szCs w:val="20"/>
                <w:lang w:val="uk-UA"/>
              </w:rPr>
            </w:pPr>
            <w:r w:rsidRPr="006C67D5">
              <w:rPr>
                <w:b/>
                <w:sz w:val="20"/>
                <w:szCs w:val="20"/>
                <w:lang w:val="uk-UA"/>
              </w:rPr>
              <w:t>Юридичні особи</w:t>
            </w:r>
          </w:p>
        </w:tc>
        <w:tc>
          <w:tcPr>
            <w:tcW w:w="3766" w:type="dxa"/>
            <w:gridSpan w:val="3"/>
            <w:vAlign w:val="center"/>
          </w:tcPr>
          <w:p w:rsidR="00A83EF2" w:rsidRPr="006C67D5" w:rsidRDefault="00A83EF2" w:rsidP="003555E5">
            <w:pPr>
              <w:tabs>
                <w:tab w:val="left" w:pos="6761"/>
              </w:tabs>
              <w:jc w:val="center"/>
              <w:rPr>
                <w:b/>
                <w:sz w:val="20"/>
                <w:szCs w:val="20"/>
                <w:lang w:val="uk-UA"/>
              </w:rPr>
            </w:pPr>
            <w:r w:rsidRPr="006C67D5">
              <w:rPr>
                <w:b/>
                <w:sz w:val="20"/>
                <w:szCs w:val="20"/>
                <w:lang w:val="uk-UA"/>
              </w:rPr>
              <w:t>Фізичні особи</w:t>
            </w:r>
          </w:p>
        </w:tc>
        <w:tc>
          <w:tcPr>
            <w:tcW w:w="1223" w:type="dxa"/>
            <w:vMerge w:val="restart"/>
            <w:shd w:val="clear" w:color="auto" w:fill="FABF8F" w:themeFill="accent6" w:themeFillTint="99"/>
            <w:vAlign w:val="center"/>
          </w:tcPr>
          <w:p w:rsidR="00A83EF2" w:rsidRDefault="00A83EF2" w:rsidP="003555E5">
            <w:pPr>
              <w:tabs>
                <w:tab w:val="left" w:pos="6761"/>
              </w:tabs>
              <w:jc w:val="center"/>
              <w:rPr>
                <w:b/>
                <w:sz w:val="20"/>
                <w:szCs w:val="20"/>
                <w:lang w:val="uk-UA"/>
              </w:rPr>
            </w:pPr>
          </w:p>
          <w:p w:rsidR="00A83EF2" w:rsidRDefault="00A83EF2" w:rsidP="003555E5">
            <w:pPr>
              <w:tabs>
                <w:tab w:val="left" w:pos="6761"/>
              </w:tabs>
              <w:jc w:val="center"/>
              <w:rPr>
                <w:b/>
                <w:sz w:val="20"/>
                <w:szCs w:val="20"/>
                <w:lang w:val="uk-UA"/>
              </w:rPr>
            </w:pPr>
          </w:p>
          <w:p w:rsidR="00A83EF2" w:rsidRPr="006C67D5" w:rsidRDefault="00A83EF2" w:rsidP="003555E5">
            <w:pPr>
              <w:tabs>
                <w:tab w:val="left" w:pos="6761"/>
              </w:tabs>
              <w:jc w:val="center"/>
              <w:rPr>
                <w:b/>
                <w:sz w:val="20"/>
                <w:szCs w:val="20"/>
                <w:lang w:val="uk-UA"/>
              </w:rPr>
            </w:pPr>
            <w:r w:rsidRPr="006C67D5">
              <w:rPr>
                <w:b/>
                <w:sz w:val="20"/>
                <w:szCs w:val="20"/>
                <w:lang w:val="uk-UA"/>
              </w:rPr>
              <w:t>Разом платників</w:t>
            </w:r>
          </w:p>
        </w:tc>
      </w:tr>
      <w:tr w:rsidR="00A83EF2" w:rsidRPr="006C67D5" w:rsidTr="003555E5">
        <w:trPr>
          <w:trHeight w:val="737"/>
        </w:trPr>
        <w:tc>
          <w:tcPr>
            <w:tcW w:w="1326" w:type="dxa"/>
            <w:vMerge/>
          </w:tcPr>
          <w:p w:rsidR="00A83EF2" w:rsidRDefault="00A83EF2" w:rsidP="00765377">
            <w:pPr>
              <w:tabs>
                <w:tab w:val="left" w:pos="6761"/>
              </w:tabs>
              <w:jc w:val="both"/>
              <w:rPr>
                <w:b/>
                <w:lang w:val="uk-UA"/>
              </w:rPr>
            </w:pPr>
          </w:p>
        </w:tc>
        <w:tc>
          <w:tcPr>
            <w:tcW w:w="1393" w:type="dxa"/>
            <w:vAlign w:val="center"/>
          </w:tcPr>
          <w:p w:rsidR="00A83EF2" w:rsidRDefault="00A83EF2" w:rsidP="003555E5">
            <w:pPr>
              <w:tabs>
                <w:tab w:val="left" w:pos="6761"/>
              </w:tabs>
              <w:jc w:val="center"/>
              <w:rPr>
                <w:b/>
                <w:sz w:val="20"/>
                <w:szCs w:val="20"/>
                <w:lang w:val="uk-UA"/>
              </w:rPr>
            </w:pPr>
            <w:r w:rsidRPr="006C67D5">
              <w:rPr>
                <w:b/>
                <w:sz w:val="20"/>
                <w:szCs w:val="20"/>
                <w:lang w:val="uk-UA"/>
              </w:rPr>
              <w:t>Власники житлової нерухомості</w:t>
            </w:r>
          </w:p>
          <w:p w:rsidR="00A83EF2" w:rsidRPr="006C67D5" w:rsidRDefault="00A83EF2" w:rsidP="003555E5">
            <w:pPr>
              <w:tabs>
                <w:tab w:val="left" w:pos="6761"/>
              </w:tabs>
              <w:jc w:val="center"/>
              <w:rPr>
                <w:b/>
                <w:sz w:val="20"/>
                <w:szCs w:val="20"/>
                <w:lang w:val="uk-UA"/>
              </w:rPr>
            </w:pPr>
            <w:r>
              <w:rPr>
                <w:b/>
                <w:sz w:val="20"/>
                <w:szCs w:val="20"/>
                <w:lang w:val="uk-UA"/>
              </w:rPr>
              <w:t>(18010100)</w:t>
            </w:r>
          </w:p>
        </w:tc>
        <w:tc>
          <w:tcPr>
            <w:tcW w:w="1393" w:type="dxa"/>
            <w:vAlign w:val="center"/>
          </w:tcPr>
          <w:p w:rsidR="00A83EF2" w:rsidRDefault="00A83EF2" w:rsidP="003555E5">
            <w:pPr>
              <w:tabs>
                <w:tab w:val="left" w:pos="6761"/>
              </w:tabs>
              <w:jc w:val="center"/>
              <w:rPr>
                <w:b/>
                <w:sz w:val="20"/>
                <w:szCs w:val="20"/>
                <w:lang w:val="uk-UA"/>
              </w:rPr>
            </w:pPr>
            <w:r w:rsidRPr="006C67D5">
              <w:rPr>
                <w:b/>
                <w:sz w:val="20"/>
                <w:szCs w:val="20"/>
                <w:lang w:val="uk-UA"/>
              </w:rPr>
              <w:t>Власники нежитлової нерухомості</w:t>
            </w:r>
          </w:p>
          <w:p w:rsidR="00A83EF2" w:rsidRPr="006C67D5" w:rsidRDefault="00A83EF2" w:rsidP="003555E5">
            <w:pPr>
              <w:tabs>
                <w:tab w:val="left" w:pos="6761"/>
              </w:tabs>
              <w:jc w:val="center"/>
              <w:rPr>
                <w:b/>
                <w:sz w:val="20"/>
                <w:szCs w:val="20"/>
                <w:lang w:val="uk-UA"/>
              </w:rPr>
            </w:pPr>
            <w:r>
              <w:rPr>
                <w:b/>
                <w:sz w:val="20"/>
                <w:szCs w:val="20"/>
                <w:lang w:val="uk-UA"/>
              </w:rPr>
              <w:t>(18010400)</w:t>
            </w:r>
          </w:p>
        </w:tc>
        <w:tc>
          <w:tcPr>
            <w:tcW w:w="979" w:type="dxa"/>
            <w:shd w:val="clear" w:color="auto" w:fill="CCC0D9" w:themeFill="accent4" w:themeFillTint="66"/>
            <w:vAlign w:val="center"/>
          </w:tcPr>
          <w:p w:rsidR="00A83EF2" w:rsidRDefault="00A83EF2" w:rsidP="003555E5">
            <w:pPr>
              <w:tabs>
                <w:tab w:val="left" w:pos="6761"/>
              </w:tabs>
              <w:jc w:val="center"/>
              <w:rPr>
                <w:b/>
                <w:sz w:val="20"/>
                <w:szCs w:val="20"/>
                <w:lang w:val="uk-UA"/>
              </w:rPr>
            </w:pPr>
          </w:p>
          <w:p w:rsidR="00A83EF2" w:rsidRPr="00FD0322" w:rsidRDefault="00A83EF2" w:rsidP="003555E5">
            <w:pPr>
              <w:tabs>
                <w:tab w:val="left" w:pos="6761"/>
              </w:tabs>
              <w:jc w:val="center"/>
              <w:rPr>
                <w:b/>
                <w:sz w:val="20"/>
                <w:szCs w:val="20"/>
                <w:lang w:val="uk-UA"/>
              </w:rPr>
            </w:pPr>
            <w:r w:rsidRPr="00FD0322">
              <w:rPr>
                <w:b/>
                <w:sz w:val="20"/>
                <w:szCs w:val="20"/>
                <w:lang w:val="uk-UA"/>
              </w:rPr>
              <w:t>Разом</w:t>
            </w:r>
          </w:p>
        </w:tc>
        <w:tc>
          <w:tcPr>
            <w:tcW w:w="1393" w:type="dxa"/>
            <w:vAlign w:val="center"/>
          </w:tcPr>
          <w:p w:rsidR="00A83EF2" w:rsidRDefault="00A83EF2" w:rsidP="003555E5">
            <w:pPr>
              <w:tabs>
                <w:tab w:val="left" w:pos="6761"/>
              </w:tabs>
              <w:jc w:val="center"/>
              <w:rPr>
                <w:b/>
                <w:sz w:val="20"/>
                <w:szCs w:val="20"/>
                <w:lang w:val="uk-UA"/>
              </w:rPr>
            </w:pPr>
            <w:r w:rsidRPr="006C67D5">
              <w:rPr>
                <w:b/>
                <w:sz w:val="20"/>
                <w:szCs w:val="20"/>
                <w:lang w:val="uk-UA"/>
              </w:rPr>
              <w:t>Власники житлової нерухомості</w:t>
            </w:r>
          </w:p>
          <w:p w:rsidR="00A83EF2" w:rsidRPr="006C67D5" w:rsidRDefault="00A83EF2" w:rsidP="003555E5">
            <w:pPr>
              <w:tabs>
                <w:tab w:val="left" w:pos="6761"/>
              </w:tabs>
              <w:jc w:val="center"/>
              <w:rPr>
                <w:b/>
                <w:sz w:val="20"/>
                <w:szCs w:val="20"/>
                <w:lang w:val="uk-UA"/>
              </w:rPr>
            </w:pPr>
            <w:r>
              <w:rPr>
                <w:b/>
                <w:sz w:val="20"/>
                <w:szCs w:val="20"/>
                <w:lang w:val="uk-UA"/>
              </w:rPr>
              <w:t>(18010200)</w:t>
            </w:r>
          </w:p>
        </w:tc>
        <w:tc>
          <w:tcPr>
            <w:tcW w:w="1393" w:type="dxa"/>
            <w:vAlign w:val="center"/>
          </w:tcPr>
          <w:p w:rsidR="00A83EF2" w:rsidRDefault="00A83EF2" w:rsidP="003555E5">
            <w:pPr>
              <w:tabs>
                <w:tab w:val="left" w:pos="6761"/>
              </w:tabs>
              <w:jc w:val="center"/>
              <w:rPr>
                <w:b/>
                <w:sz w:val="20"/>
                <w:szCs w:val="20"/>
                <w:lang w:val="uk-UA"/>
              </w:rPr>
            </w:pPr>
            <w:r w:rsidRPr="006C67D5">
              <w:rPr>
                <w:b/>
                <w:sz w:val="20"/>
                <w:szCs w:val="20"/>
                <w:lang w:val="uk-UA"/>
              </w:rPr>
              <w:t>Власники нежитлової нерухомості</w:t>
            </w:r>
          </w:p>
          <w:p w:rsidR="00A83EF2" w:rsidRPr="006C67D5" w:rsidRDefault="00A83EF2" w:rsidP="003555E5">
            <w:pPr>
              <w:tabs>
                <w:tab w:val="left" w:pos="6761"/>
              </w:tabs>
              <w:jc w:val="center"/>
              <w:rPr>
                <w:b/>
                <w:sz w:val="20"/>
                <w:szCs w:val="20"/>
                <w:lang w:val="uk-UA"/>
              </w:rPr>
            </w:pPr>
            <w:r>
              <w:rPr>
                <w:b/>
                <w:sz w:val="20"/>
                <w:szCs w:val="20"/>
                <w:lang w:val="uk-UA"/>
              </w:rPr>
              <w:t>(18010300)</w:t>
            </w:r>
          </w:p>
        </w:tc>
        <w:tc>
          <w:tcPr>
            <w:tcW w:w="980" w:type="dxa"/>
            <w:shd w:val="clear" w:color="auto" w:fill="CCC0D9" w:themeFill="accent4" w:themeFillTint="66"/>
            <w:vAlign w:val="center"/>
          </w:tcPr>
          <w:p w:rsidR="00A83EF2" w:rsidRDefault="00A83EF2" w:rsidP="003555E5">
            <w:pPr>
              <w:tabs>
                <w:tab w:val="left" w:pos="6761"/>
              </w:tabs>
              <w:jc w:val="center"/>
              <w:rPr>
                <w:b/>
                <w:sz w:val="20"/>
                <w:szCs w:val="20"/>
                <w:lang w:val="uk-UA"/>
              </w:rPr>
            </w:pPr>
          </w:p>
          <w:p w:rsidR="00A83EF2" w:rsidRPr="006C67D5" w:rsidRDefault="00A83EF2" w:rsidP="003555E5">
            <w:pPr>
              <w:tabs>
                <w:tab w:val="left" w:pos="6761"/>
              </w:tabs>
              <w:jc w:val="center"/>
              <w:rPr>
                <w:b/>
                <w:sz w:val="20"/>
                <w:szCs w:val="20"/>
                <w:lang w:val="uk-UA"/>
              </w:rPr>
            </w:pPr>
            <w:r w:rsidRPr="006C67D5">
              <w:rPr>
                <w:b/>
                <w:sz w:val="20"/>
                <w:szCs w:val="20"/>
                <w:lang w:val="uk-UA"/>
              </w:rPr>
              <w:t>Разом</w:t>
            </w:r>
          </w:p>
        </w:tc>
        <w:tc>
          <w:tcPr>
            <w:tcW w:w="1223" w:type="dxa"/>
            <w:vMerge/>
            <w:shd w:val="clear" w:color="auto" w:fill="FABF8F" w:themeFill="accent6" w:themeFillTint="99"/>
          </w:tcPr>
          <w:p w:rsidR="00A83EF2" w:rsidRPr="006C67D5" w:rsidRDefault="00A83EF2" w:rsidP="00765377">
            <w:pPr>
              <w:tabs>
                <w:tab w:val="left" w:pos="6761"/>
              </w:tabs>
              <w:jc w:val="both"/>
              <w:rPr>
                <w:b/>
                <w:sz w:val="20"/>
                <w:szCs w:val="20"/>
                <w:lang w:val="uk-UA"/>
              </w:rPr>
            </w:pPr>
          </w:p>
        </w:tc>
      </w:tr>
      <w:tr w:rsidR="00A83EF2" w:rsidTr="009F4468">
        <w:tc>
          <w:tcPr>
            <w:tcW w:w="1326" w:type="dxa"/>
          </w:tcPr>
          <w:p w:rsidR="00A83EF2" w:rsidRDefault="00A83EF2" w:rsidP="00765377">
            <w:pPr>
              <w:tabs>
                <w:tab w:val="left" w:pos="6761"/>
              </w:tabs>
              <w:jc w:val="both"/>
              <w:rPr>
                <w:b/>
                <w:lang w:val="uk-UA"/>
              </w:rPr>
            </w:pPr>
            <w:r>
              <w:rPr>
                <w:b/>
                <w:lang w:val="uk-UA"/>
              </w:rPr>
              <w:t>2022</w:t>
            </w:r>
          </w:p>
        </w:tc>
        <w:tc>
          <w:tcPr>
            <w:tcW w:w="1393" w:type="dxa"/>
            <w:vAlign w:val="center"/>
          </w:tcPr>
          <w:p w:rsidR="00A83EF2" w:rsidRPr="00FD0322" w:rsidRDefault="00A83EF2" w:rsidP="009F4468">
            <w:pPr>
              <w:tabs>
                <w:tab w:val="left" w:pos="6761"/>
              </w:tabs>
              <w:jc w:val="center"/>
              <w:rPr>
                <w:lang w:val="uk-UA"/>
              </w:rPr>
            </w:pPr>
            <w:r>
              <w:rPr>
                <w:lang w:val="uk-UA"/>
              </w:rPr>
              <w:t>17</w:t>
            </w:r>
          </w:p>
        </w:tc>
        <w:tc>
          <w:tcPr>
            <w:tcW w:w="1393" w:type="dxa"/>
            <w:vAlign w:val="center"/>
          </w:tcPr>
          <w:p w:rsidR="00A83EF2" w:rsidRPr="00FD0322" w:rsidRDefault="00A83EF2" w:rsidP="009F4468">
            <w:pPr>
              <w:tabs>
                <w:tab w:val="left" w:pos="6761"/>
              </w:tabs>
              <w:jc w:val="center"/>
              <w:rPr>
                <w:lang w:val="uk-UA"/>
              </w:rPr>
            </w:pPr>
            <w:r>
              <w:rPr>
                <w:lang w:val="uk-UA"/>
              </w:rPr>
              <w:t>193</w:t>
            </w:r>
          </w:p>
        </w:tc>
        <w:tc>
          <w:tcPr>
            <w:tcW w:w="979" w:type="dxa"/>
            <w:shd w:val="clear" w:color="auto" w:fill="CCC0D9" w:themeFill="accent4" w:themeFillTint="66"/>
            <w:vAlign w:val="center"/>
          </w:tcPr>
          <w:p w:rsidR="00A83EF2" w:rsidRPr="00FD0322" w:rsidRDefault="00A83EF2" w:rsidP="009F4468">
            <w:pPr>
              <w:tabs>
                <w:tab w:val="left" w:pos="6761"/>
              </w:tabs>
              <w:jc w:val="center"/>
              <w:rPr>
                <w:b/>
                <w:lang w:val="uk-UA"/>
              </w:rPr>
            </w:pPr>
            <w:r>
              <w:rPr>
                <w:b/>
                <w:lang w:val="uk-UA"/>
              </w:rPr>
              <w:t>210</w:t>
            </w:r>
          </w:p>
        </w:tc>
        <w:tc>
          <w:tcPr>
            <w:tcW w:w="1393" w:type="dxa"/>
            <w:vAlign w:val="center"/>
          </w:tcPr>
          <w:p w:rsidR="00A83EF2" w:rsidRPr="00FD0322" w:rsidRDefault="00A83EF2" w:rsidP="009F4468">
            <w:pPr>
              <w:tabs>
                <w:tab w:val="left" w:pos="6761"/>
              </w:tabs>
              <w:jc w:val="center"/>
              <w:rPr>
                <w:lang w:val="uk-UA"/>
              </w:rPr>
            </w:pPr>
            <w:r>
              <w:rPr>
                <w:lang w:val="uk-UA"/>
              </w:rPr>
              <w:t>959</w:t>
            </w:r>
          </w:p>
        </w:tc>
        <w:tc>
          <w:tcPr>
            <w:tcW w:w="1393" w:type="dxa"/>
            <w:vAlign w:val="center"/>
          </w:tcPr>
          <w:p w:rsidR="00A83EF2" w:rsidRPr="00FD0322" w:rsidRDefault="00A83EF2" w:rsidP="009F4468">
            <w:pPr>
              <w:tabs>
                <w:tab w:val="left" w:pos="6761"/>
              </w:tabs>
              <w:jc w:val="center"/>
              <w:rPr>
                <w:lang w:val="uk-UA"/>
              </w:rPr>
            </w:pPr>
            <w:r>
              <w:rPr>
                <w:lang w:val="uk-UA"/>
              </w:rPr>
              <w:t>607</w:t>
            </w:r>
          </w:p>
        </w:tc>
        <w:tc>
          <w:tcPr>
            <w:tcW w:w="980" w:type="dxa"/>
            <w:shd w:val="clear" w:color="auto" w:fill="CCC0D9" w:themeFill="accent4" w:themeFillTint="66"/>
            <w:vAlign w:val="center"/>
          </w:tcPr>
          <w:p w:rsidR="00A83EF2" w:rsidRDefault="00A83EF2" w:rsidP="009F4468">
            <w:pPr>
              <w:tabs>
                <w:tab w:val="left" w:pos="6761"/>
              </w:tabs>
              <w:jc w:val="center"/>
              <w:rPr>
                <w:b/>
                <w:lang w:val="uk-UA"/>
              </w:rPr>
            </w:pPr>
            <w:r>
              <w:rPr>
                <w:b/>
                <w:lang w:val="uk-UA"/>
              </w:rPr>
              <w:t>1</w:t>
            </w:r>
            <w:r w:rsidR="009F4468">
              <w:rPr>
                <w:b/>
                <w:lang w:val="uk-UA"/>
              </w:rPr>
              <w:t xml:space="preserve"> </w:t>
            </w:r>
            <w:r>
              <w:rPr>
                <w:b/>
                <w:lang w:val="uk-UA"/>
              </w:rPr>
              <w:t>566</w:t>
            </w:r>
          </w:p>
        </w:tc>
        <w:tc>
          <w:tcPr>
            <w:tcW w:w="1223" w:type="dxa"/>
            <w:shd w:val="clear" w:color="auto" w:fill="FABF8F" w:themeFill="accent6" w:themeFillTint="99"/>
            <w:vAlign w:val="center"/>
          </w:tcPr>
          <w:p w:rsidR="00A83EF2" w:rsidRDefault="00A83EF2" w:rsidP="009F4468">
            <w:pPr>
              <w:tabs>
                <w:tab w:val="left" w:pos="6761"/>
              </w:tabs>
              <w:jc w:val="center"/>
              <w:rPr>
                <w:b/>
                <w:lang w:val="uk-UA"/>
              </w:rPr>
            </w:pPr>
            <w:r>
              <w:rPr>
                <w:b/>
                <w:lang w:val="uk-UA"/>
              </w:rPr>
              <w:t>1</w:t>
            </w:r>
            <w:r w:rsidR="009F4468">
              <w:rPr>
                <w:b/>
                <w:lang w:val="uk-UA"/>
              </w:rPr>
              <w:t xml:space="preserve"> </w:t>
            </w:r>
            <w:r>
              <w:rPr>
                <w:b/>
                <w:lang w:val="uk-UA"/>
              </w:rPr>
              <w:t>776</w:t>
            </w:r>
          </w:p>
        </w:tc>
      </w:tr>
      <w:tr w:rsidR="00A83EF2" w:rsidTr="009F4468">
        <w:tc>
          <w:tcPr>
            <w:tcW w:w="1326" w:type="dxa"/>
          </w:tcPr>
          <w:p w:rsidR="00A83EF2" w:rsidRDefault="00A83EF2" w:rsidP="00765377">
            <w:pPr>
              <w:tabs>
                <w:tab w:val="left" w:pos="6761"/>
              </w:tabs>
              <w:ind w:left="-339" w:firstLine="339"/>
              <w:jc w:val="both"/>
              <w:rPr>
                <w:b/>
                <w:lang w:val="uk-UA"/>
              </w:rPr>
            </w:pPr>
            <w:r>
              <w:rPr>
                <w:b/>
                <w:lang w:val="uk-UA"/>
              </w:rPr>
              <w:t>2023</w:t>
            </w:r>
          </w:p>
        </w:tc>
        <w:tc>
          <w:tcPr>
            <w:tcW w:w="1393" w:type="dxa"/>
            <w:vAlign w:val="center"/>
          </w:tcPr>
          <w:p w:rsidR="00A83EF2" w:rsidRPr="00FD0322" w:rsidRDefault="00A83EF2" w:rsidP="009F4468">
            <w:pPr>
              <w:tabs>
                <w:tab w:val="left" w:pos="6761"/>
              </w:tabs>
              <w:jc w:val="center"/>
              <w:rPr>
                <w:lang w:val="uk-UA"/>
              </w:rPr>
            </w:pPr>
            <w:r>
              <w:rPr>
                <w:lang w:val="uk-UA"/>
              </w:rPr>
              <w:t>20</w:t>
            </w:r>
          </w:p>
        </w:tc>
        <w:tc>
          <w:tcPr>
            <w:tcW w:w="1393" w:type="dxa"/>
            <w:vAlign w:val="center"/>
          </w:tcPr>
          <w:p w:rsidR="00A83EF2" w:rsidRPr="00FD0322" w:rsidRDefault="00A83EF2" w:rsidP="009F4468">
            <w:pPr>
              <w:tabs>
                <w:tab w:val="left" w:pos="6761"/>
              </w:tabs>
              <w:jc w:val="center"/>
              <w:rPr>
                <w:lang w:val="uk-UA"/>
              </w:rPr>
            </w:pPr>
            <w:r>
              <w:rPr>
                <w:lang w:val="uk-UA"/>
              </w:rPr>
              <w:t>195</w:t>
            </w:r>
          </w:p>
        </w:tc>
        <w:tc>
          <w:tcPr>
            <w:tcW w:w="979" w:type="dxa"/>
            <w:shd w:val="clear" w:color="auto" w:fill="CCC0D9" w:themeFill="accent4" w:themeFillTint="66"/>
            <w:vAlign w:val="center"/>
          </w:tcPr>
          <w:p w:rsidR="00A83EF2" w:rsidRPr="00FD0322" w:rsidRDefault="00A83EF2" w:rsidP="009F4468">
            <w:pPr>
              <w:tabs>
                <w:tab w:val="left" w:pos="6761"/>
              </w:tabs>
              <w:jc w:val="center"/>
              <w:rPr>
                <w:b/>
                <w:lang w:val="uk-UA"/>
              </w:rPr>
            </w:pPr>
            <w:r>
              <w:rPr>
                <w:b/>
                <w:lang w:val="uk-UA"/>
              </w:rPr>
              <w:t>215</w:t>
            </w:r>
          </w:p>
        </w:tc>
        <w:tc>
          <w:tcPr>
            <w:tcW w:w="1393" w:type="dxa"/>
            <w:vAlign w:val="center"/>
          </w:tcPr>
          <w:p w:rsidR="00A83EF2" w:rsidRPr="00FD0322" w:rsidRDefault="00A83EF2" w:rsidP="009F4468">
            <w:pPr>
              <w:tabs>
                <w:tab w:val="left" w:pos="6761"/>
              </w:tabs>
              <w:jc w:val="center"/>
              <w:rPr>
                <w:lang w:val="uk-UA"/>
              </w:rPr>
            </w:pPr>
            <w:r>
              <w:rPr>
                <w:lang w:val="uk-UA"/>
              </w:rPr>
              <w:t>1</w:t>
            </w:r>
            <w:r w:rsidR="009F4468">
              <w:rPr>
                <w:lang w:val="uk-UA"/>
              </w:rPr>
              <w:t xml:space="preserve"> </w:t>
            </w:r>
            <w:r>
              <w:rPr>
                <w:lang w:val="uk-UA"/>
              </w:rPr>
              <w:t>502</w:t>
            </w:r>
          </w:p>
        </w:tc>
        <w:tc>
          <w:tcPr>
            <w:tcW w:w="1393" w:type="dxa"/>
            <w:vAlign w:val="center"/>
          </w:tcPr>
          <w:p w:rsidR="00A83EF2" w:rsidRPr="00FD0322" w:rsidRDefault="00A83EF2" w:rsidP="009F4468">
            <w:pPr>
              <w:tabs>
                <w:tab w:val="left" w:pos="6761"/>
              </w:tabs>
              <w:jc w:val="center"/>
              <w:rPr>
                <w:lang w:val="uk-UA"/>
              </w:rPr>
            </w:pPr>
            <w:r>
              <w:rPr>
                <w:lang w:val="uk-UA"/>
              </w:rPr>
              <w:t>905</w:t>
            </w:r>
          </w:p>
        </w:tc>
        <w:tc>
          <w:tcPr>
            <w:tcW w:w="980" w:type="dxa"/>
            <w:shd w:val="clear" w:color="auto" w:fill="CCC0D9" w:themeFill="accent4" w:themeFillTint="66"/>
            <w:vAlign w:val="center"/>
          </w:tcPr>
          <w:p w:rsidR="00A83EF2" w:rsidRDefault="00A83EF2" w:rsidP="009F4468">
            <w:pPr>
              <w:tabs>
                <w:tab w:val="left" w:pos="6761"/>
              </w:tabs>
              <w:jc w:val="center"/>
              <w:rPr>
                <w:b/>
                <w:lang w:val="uk-UA"/>
              </w:rPr>
            </w:pPr>
            <w:r>
              <w:rPr>
                <w:b/>
                <w:lang w:val="uk-UA"/>
              </w:rPr>
              <w:t>2</w:t>
            </w:r>
            <w:r w:rsidR="009F4468">
              <w:rPr>
                <w:b/>
                <w:lang w:val="uk-UA"/>
              </w:rPr>
              <w:t xml:space="preserve"> </w:t>
            </w:r>
            <w:r>
              <w:rPr>
                <w:b/>
                <w:lang w:val="uk-UA"/>
              </w:rPr>
              <w:t>407</w:t>
            </w:r>
          </w:p>
        </w:tc>
        <w:tc>
          <w:tcPr>
            <w:tcW w:w="1223" w:type="dxa"/>
            <w:shd w:val="clear" w:color="auto" w:fill="FABF8F" w:themeFill="accent6" w:themeFillTint="99"/>
            <w:vAlign w:val="center"/>
          </w:tcPr>
          <w:p w:rsidR="00A83EF2" w:rsidRDefault="00A83EF2" w:rsidP="009F4468">
            <w:pPr>
              <w:tabs>
                <w:tab w:val="left" w:pos="6761"/>
              </w:tabs>
              <w:jc w:val="center"/>
              <w:rPr>
                <w:b/>
                <w:lang w:val="uk-UA"/>
              </w:rPr>
            </w:pPr>
            <w:r>
              <w:rPr>
                <w:b/>
                <w:lang w:val="uk-UA"/>
              </w:rPr>
              <w:t>2</w:t>
            </w:r>
            <w:r w:rsidR="009F4468">
              <w:rPr>
                <w:b/>
                <w:lang w:val="uk-UA"/>
              </w:rPr>
              <w:t xml:space="preserve"> </w:t>
            </w:r>
            <w:r>
              <w:rPr>
                <w:b/>
                <w:lang w:val="uk-UA"/>
              </w:rPr>
              <w:t>622</w:t>
            </w:r>
          </w:p>
        </w:tc>
      </w:tr>
      <w:tr w:rsidR="00A83EF2" w:rsidTr="009F4468">
        <w:tc>
          <w:tcPr>
            <w:tcW w:w="1326" w:type="dxa"/>
          </w:tcPr>
          <w:p w:rsidR="00A83EF2" w:rsidRDefault="00A83EF2" w:rsidP="00765377">
            <w:pPr>
              <w:tabs>
                <w:tab w:val="left" w:pos="6761"/>
              </w:tabs>
              <w:jc w:val="both"/>
              <w:rPr>
                <w:b/>
                <w:lang w:val="uk-UA"/>
              </w:rPr>
            </w:pPr>
            <w:r>
              <w:rPr>
                <w:b/>
                <w:lang w:val="uk-UA"/>
              </w:rPr>
              <w:t>2024</w:t>
            </w:r>
          </w:p>
        </w:tc>
        <w:tc>
          <w:tcPr>
            <w:tcW w:w="1393" w:type="dxa"/>
            <w:vAlign w:val="center"/>
          </w:tcPr>
          <w:p w:rsidR="00A83EF2" w:rsidRPr="00FD0322" w:rsidRDefault="00A83EF2" w:rsidP="009F4468">
            <w:pPr>
              <w:tabs>
                <w:tab w:val="left" w:pos="6761"/>
              </w:tabs>
              <w:jc w:val="center"/>
              <w:rPr>
                <w:lang w:val="uk-UA"/>
              </w:rPr>
            </w:pPr>
            <w:r>
              <w:rPr>
                <w:lang w:val="uk-UA"/>
              </w:rPr>
              <w:t>21</w:t>
            </w:r>
          </w:p>
        </w:tc>
        <w:tc>
          <w:tcPr>
            <w:tcW w:w="1393" w:type="dxa"/>
            <w:vAlign w:val="center"/>
          </w:tcPr>
          <w:p w:rsidR="00A83EF2" w:rsidRPr="00FD0322" w:rsidRDefault="00A83EF2" w:rsidP="009F4468">
            <w:pPr>
              <w:tabs>
                <w:tab w:val="left" w:pos="6761"/>
              </w:tabs>
              <w:jc w:val="center"/>
              <w:rPr>
                <w:lang w:val="uk-UA"/>
              </w:rPr>
            </w:pPr>
            <w:r>
              <w:rPr>
                <w:lang w:val="uk-UA"/>
              </w:rPr>
              <w:t>209</w:t>
            </w:r>
          </w:p>
        </w:tc>
        <w:tc>
          <w:tcPr>
            <w:tcW w:w="979" w:type="dxa"/>
            <w:shd w:val="clear" w:color="auto" w:fill="CCC0D9" w:themeFill="accent4" w:themeFillTint="66"/>
            <w:vAlign w:val="center"/>
          </w:tcPr>
          <w:p w:rsidR="00A83EF2" w:rsidRPr="00FD0322" w:rsidRDefault="00A83EF2" w:rsidP="009F4468">
            <w:pPr>
              <w:tabs>
                <w:tab w:val="left" w:pos="6761"/>
              </w:tabs>
              <w:jc w:val="center"/>
              <w:rPr>
                <w:b/>
                <w:lang w:val="uk-UA"/>
              </w:rPr>
            </w:pPr>
            <w:r>
              <w:rPr>
                <w:b/>
                <w:lang w:val="uk-UA"/>
              </w:rPr>
              <w:t>230</w:t>
            </w:r>
          </w:p>
        </w:tc>
        <w:tc>
          <w:tcPr>
            <w:tcW w:w="1393" w:type="dxa"/>
            <w:vAlign w:val="center"/>
          </w:tcPr>
          <w:p w:rsidR="00A83EF2" w:rsidRPr="00FD0322" w:rsidRDefault="00A83EF2" w:rsidP="009F4468">
            <w:pPr>
              <w:tabs>
                <w:tab w:val="left" w:pos="6761"/>
              </w:tabs>
              <w:jc w:val="center"/>
              <w:rPr>
                <w:lang w:val="uk-UA"/>
              </w:rPr>
            </w:pPr>
            <w:r>
              <w:rPr>
                <w:lang w:val="uk-UA"/>
              </w:rPr>
              <w:t>2</w:t>
            </w:r>
            <w:r w:rsidR="009F4468">
              <w:rPr>
                <w:lang w:val="uk-UA"/>
              </w:rPr>
              <w:t xml:space="preserve"> </w:t>
            </w:r>
            <w:r>
              <w:rPr>
                <w:lang w:val="uk-UA"/>
              </w:rPr>
              <w:t>233</w:t>
            </w:r>
          </w:p>
        </w:tc>
        <w:tc>
          <w:tcPr>
            <w:tcW w:w="1393" w:type="dxa"/>
            <w:vAlign w:val="center"/>
          </w:tcPr>
          <w:p w:rsidR="00A83EF2" w:rsidRPr="00FD0322" w:rsidRDefault="00A83EF2" w:rsidP="009F4468">
            <w:pPr>
              <w:tabs>
                <w:tab w:val="left" w:pos="6761"/>
              </w:tabs>
              <w:jc w:val="center"/>
              <w:rPr>
                <w:lang w:val="uk-UA"/>
              </w:rPr>
            </w:pPr>
            <w:r>
              <w:rPr>
                <w:lang w:val="uk-UA"/>
              </w:rPr>
              <w:t>1</w:t>
            </w:r>
            <w:r w:rsidR="009F4468">
              <w:rPr>
                <w:lang w:val="uk-UA"/>
              </w:rPr>
              <w:t xml:space="preserve"> </w:t>
            </w:r>
            <w:r>
              <w:rPr>
                <w:lang w:val="uk-UA"/>
              </w:rPr>
              <w:t>064</w:t>
            </w:r>
          </w:p>
        </w:tc>
        <w:tc>
          <w:tcPr>
            <w:tcW w:w="980" w:type="dxa"/>
            <w:shd w:val="clear" w:color="auto" w:fill="CCC0D9" w:themeFill="accent4" w:themeFillTint="66"/>
            <w:vAlign w:val="center"/>
          </w:tcPr>
          <w:p w:rsidR="00A83EF2" w:rsidRDefault="00A83EF2" w:rsidP="009F4468">
            <w:pPr>
              <w:tabs>
                <w:tab w:val="left" w:pos="6761"/>
              </w:tabs>
              <w:jc w:val="center"/>
              <w:rPr>
                <w:b/>
                <w:lang w:val="uk-UA"/>
              </w:rPr>
            </w:pPr>
            <w:r>
              <w:rPr>
                <w:b/>
                <w:lang w:val="uk-UA"/>
              </w:rPr>
              <w:t>3</w:t>
            </w:r>
            <w:r w:rsidR="00534A27">
              <w:rPr>
                <w:b/>
                <w:lang w:val="uk-UA"/>
              </w:rPr>
              <w:t xml:space="preserve"> </w:t>
            </w:r>
            <w:r>
              <w:rPr>
                <w:b/>
                <w:lang w:val="uk-UA"/>
              </w:rPr>
              <w:t>297</w:t>
            </w:r>
          </w:p>
        </w:tc>
        <w:tc>
          <w:tcPr>
            <w:tcW w:w="1223" w:type="dxa"/>
            <w:shd w:val="clear" w:color="auto" w:fill="FABF8F" w:themeFill="accent6" w:themeFillTint="99"/>
            <w:vAlign w:val="center"/>
          </w:tcPr>
          <w:p w:rsidR="00A83EF2" w:rsidRDefault="00A83EF2" w:rsidP="009F4468">
            <w:pPr>
              <w:tabs>
                <w:tab w:val="left" w:pos="6761"/>
              </w:tabs>
              <w:jc w:val="center"/>
              <w:rPr>
                <w:b/>
                <w:lang w:val="uk-UA"/>
              </w:rPr>
            </w:pPr>
            <w:r>
              <w:rPr>
                <w:b/>
                <w:lang w:val="uk-UA"/>
              </w:rPr>
              <w:t>3</w:t>
            </w:r>
            <w:r w:rsidR="00534A27">
              <w:rPr>
                <w:b/>
                <w:lang w:val="uk-UA"/>
              </w:rPr>
              <w:t xml:space="preserve"> </w:t>
            </w:r>
            <w:r>
              <w:rPr>
                <w:b/>
                <w:lang w:val="uk-UA"/>
              </w:rPr>
              <w:t>527</w:t>
            </w:r>
          </w:p>
        </w:tc>
      </w:tr>
      <w:tr w:rsidR="00A83EF2" w:rsidTr="009F4468">
        <w:tc>
          <w:tcPr>
            <w:tcW w:w="1326" w:type="dxa"/>
          </w:tcPr>
          <w:p w:rsidR="00A83EF2" w:rsidRDefault="00A83EF2" w:rsidP="00765377">
            <w:pPr>
              <w:tabs>
                <w:tab w:val="left" w:pos="6761"/>
              </w:tabs>
              <w:jc w:val="both"/>
              <w:rPr>
                <w:b/>
                <w:lang w:val="uk-UA"/>
              </w:rPr>
            </w:pPr>
            <w:r>
              <w:rPr>
                <w:b/>
                <w:lang w:val="uk-UA"/>
              </w:rPr>
              <w:t>Темп росту 2023/2022</w:t>
            </w:r>
          </w:p>
        </w:tc>
        <w:tc>
          <w:tcPr>
            <w:tcW w:w="1393" w:type="dxa"/>
            <w:vAlign w:val="center"/>
          </w:tcPr>
          <w:p w:rsidR="00A83EF2" w:rsidRPr="00FD0322" w:rsidRDefault="00A83EF2" w:rsidP="009F4468">
            <w:pPr>
              <w:tabs>
                <w:tab w:val="left" w:pos="6761"/>
              </w:tabs>
              <w:jc w:val="center"/>
              <w:rPr>
                <w:lang w:val="uk-UA"/>
              </w:rPr>
            </w:pPr>
            <w:r>
              <w:rPr>
                <w:lang w:val="uk-UA"/>
              </w:rPr>
              <w:t>117,6</w:t>
            </w:r>
            <w:r w:rsidRPr="00FD0322">
              <w:rPr>
                <w:lang w:val="uk-UA"/>
              </w:rPr>
              <w:t>%</w:t>
            </w:r>
          </w:p>
        </w:tc>
        <w:tc>
          <w:tcPr>
            <w:tcW w:w="1393" w:type="dxa"/>
            <w:vAlign w:val="center"/>
          </w:tcPr>
          <w:p w:rsidR="00A83EF2" w:rsidRPr="00FD0322" w:rsidRDefault="00A83EF2" w:rsidP="009F4468">
            <w:pPr>
              <w:tabs>
                <w:tab w:val="left" w:pos="6761"/>
              </w:tabs>
              <w:jc w:val="center"/>
              <w:rPr>
                <w:lang w:val="uk-UA"/>
              </w:rPr>
            </w:pPr>
            <w:r>
              <w:rPr>
                <w:lang w:val="uk-UA"/>
              </w:rPr>
              <w:t>101</w:t>
            </w:r>
            <w:r w:rsidRPr="00FD0322">
              <w:rPr>
                <w:lang w:val="uk-UA"/>
              </w:rPr>
              <w:t>%</w:t>
            </w:r>
          </w:p>
        </w:tc>
        <w:tc>
          <w:tcPr>
            <w:tcW w:w="979" w:type="dxa"/>
            <w:shd w:val="clear" w:color="auto" w:fill="CCC0D9" w:themeFill="accent4" w:themeFillTint="66"/>
            <w:vAlign w:val="center"/>
          </w:tcPr>
          <w:p w:rsidR="00A83EF2" w:rsidRPr="00FD0322" w:rsidRDefault="00A83EF2" w:rsidP="009F4468">
            <w:pPr>
              <w:tabs>
                <w:tab w:val="left" w:pos="6761"/>
              </w:tabs>
              <w:jc w:val="center"/>
              <w:rPr>
                <w:b/>
                <w:lang w:val="uk-UA"/>
              </w:rPr>
            </w:pPr>
            <w:r w:rsidRPr="00FD0322">
              <w:rPr>
                <w:b/>
                <w:lang w:val="uk-UA"/>
              </w:rPr>
              <w:t>94%</w:t>
            </w:r>
          </w:p>
        </w:tc>
        <w:tc>
          <w:tcPr>
            <w:tcW w:w="1393" w:type="dxa"/>
            <w:vAlign w:val="center"/>
          </w:tcPr>
          <w:p w:rsidR="00A83EF2" w:rsidRPr="00FD0322" w:rsidRDefault="00A83EF2" w:rsidP="009F4468">
            <w:pPr>
              <w:tabs>
                <w:tab w:val="left" w:pos="6761"/>
              </w:tabs>
              <w:jc w:val="center"/>
              <w:rPr>
                <w:lang w:val="uk-UA"/>
              </w:rPr>
            </w:pPr>
            <w:r>
              <w:rPr>
                <w:lang w:val="uk-UA"/>
              </w:rPr>
              <w:t>156,6</w:t>
            </w:r>
            <w:r w:rsidRPr="00FD0322">
              <w:rPr>
                <w:lang w:val="uk-UA"/>
              </w:rPr>
              <w:t>%</w:t>
            </w:r>
          </w:p>
        </w:tc>
        <w:tc>
          <w:tcPr>
            <w:tcW w:w="1393" w:type="dxa"/>
            <w:vAlign w:val="center"/>
          </w:tcPr>
          <w:p w:rsidR="00A83EF2" w:rsidRPr="00FD0322" w:rsidRDefault="00A83EF2" w:rsidP="009F4468">
            <w:pPr>
              <w:tabs>
                <w:tab w:val="left" w:pos="6761"/>
              </w:tabs>
              <w:jc w:val="center"/>
              <w:rPr>
                <w:lang w:val="uk-UA"/>
              </w:rPr>
            </w:pPr>
            <w:r>
              <w:rPr>
                <w:lang w:val="uk-UA"/>
              </w:rPr>
              <w:t>149</w:t>
            </w:r>
            <w:r w:rsidRPr="00FD0322">
              <w:rPr>
                <w:lang w:val="uk-UA"/>
              </w:rPr>
              <w:t>%</w:t>
            </w:r>
          </w:p>
        </w:tc>
        <w:tc>
          <w:tcPr>
            <w:tcW w:w="980" w:type="dxa"/>
            <w:shd w:val="clear" w:color="auto" w:fill="CCC0D9" w:themeFill="accent4" w:themeFillTint="66"/>
            <w:vAlign w:val="center"/>
          </w:tcPr>
          <w:p w:rsidR="00A83EF2" w:rsidRDefault="00A83EF2" w:rsidP="009F4468">
            <w:pPr>
              <w:tabs>
                <w:tab w:val="left" w:pos="6761"/>
              </w:tabs>
              <w:jc w:val="center"/>
              <w:rPr>
                <w:b/>
                <w:lang w:val="uk-UA"/>
              </w:rPr>
            </w:pPr>
            <w:r>
              <w:rPr>
                <w:b/>
                <w:lang w:val="uk-UA"/>
              </w:rPr>
              <w:t>104%</w:t>
            </w:r>
          </w:p>
        </w:tc>
        <w:tc>
          <w:tcPr>
            <w:tcW w:w="1223" w:type="dxa"/>
            <w:shd w:val="clear" w:color="auto" w:fill="FABF8F" w:themeFill="accent6" w:themeFillTint="99"/>
            <w:vAlign w:val="center"/>
          </w:tcPr>
          <w:p w:rsidR="00534A27" w:rsidRDefault="00534A27" w:rsidP="009F4468">
            <w:pPr>
              <w:tabs>
                <w:tab w:val="left" w:pos="6761"/>
              </w:tabs>
              <w:jc w:val="center"/>
              <w:rPr>
                <w:b/>
                <w:lang w:val="uk-UA"/>
              </w:rPr>
            </w:pPr>
          </w:p>
          <w:p w:rsidR="00A83EF2" w:rsidRDefault="00A83EF2" w:rsidP="009F4468">
            <w:pPr>
              <w:tabs>
                <w:tab w:val="left" w:pos="6761"/>
              </w:tabs>
              <w:jc w:val="center"/>
              <w:rPr>
                <w:b/>
                <w:lang w:val="uk-UA"/>
              </w:rPr>
            </w:pPr>
            <w:r>
              <w:rPr>
                <w:b/>
                <w:lang w:val="uk-UA"/>
              </w:rPr>
              <w:t>147,6%</w:t>
            </w:r>
          </w:p>
          <w:p w:rsidR="00A83EF2" w:rsidRDefault="00A83EF2" w:rsidP="009F4468">
            <w:pPr>
              <w:tabs>
                <w:tab w:val="left" w:pos="6761"/>
              </w:tabs>
              <w:jc w:val="center"/>
              <w:rPr>
                <w:b/>
                <w:lang w:val="uk-UA"/>
              </w:rPr>
            </w:pPr>
          </w:p>
        </w:tc>
      </w:tr>
      <w:tr w:rsidR="00A83EF2" w:rsidTr="009F4468">
        <w:tc>
          <w:tcPr>
            <w:tcW w:w="1326" w:type="dxa"/>
          </w:tcPr>
          <w:p w:rsidR="00A83EF2" w:rsidRDefault="00A83EF2" w:rsidP="00765377">
            <w:pPr>
              <w:tabs>
                <w:tab w:val="left" w:pos="6761"/>
              </w:tabs>
              <w:jc w:val="both"/>
              <w:rPr>
                <w:b/>
                <w:lang w:val="uk-UA"/>
              </w:rPr>
            </w:pPr>
            <w:r>
              <w:rPr>
                <w:b/>
                <w:lang w:val="uk-UA"/>
              </w:rPr>
              <w:t>Темп росту 2024/2023</w:t>
            </w:r>
          </w:p>
        </w:tc>
        <w:tc>
          <w:tcPr>
            <w:tcW w:w="1393" w:type="dxa"/>
            <w:vAlign w:val="center"/>
          </w:tcPr>
          <w:p w:rsidR="00A83EF2" w:rsidRPr="00FD0322" w:rsidRDefault="00A83EF2" w:rsidP="009F4468">
            <w:pPr>
              <w:tabs>
                <w:tab w:val="left" w:pos="6761"/>
              </w:tabs>
              <w:jc w:val="center"/>
              <w:rPr>
                <w:lang w:val="uk-UA"/>
              </w:rPr>
            </w:pPr>
            <w:r>
              <w:rPr>
                <w:lang w:val="uk-UA"/>
              </w:rPr>
              <w:t>105</w:t>
            </w:r>
            <w:r w:rsidRPr="00FD0322">
              <w:rPr>
                <w:lang w:val="uk-UA"/>
              </w:rPr>
              <w:t>%</w:t>
            </w:r>
          </w:p>
        </w:tc>
        <w:tc>
          <w:tcPr>
            <w:tcW w:w="1393" w:type="dxa"/>
            <w:vAlign w:val="center"/>
          </w:tcPr>
          <w:p w:rsidR="00A83EF2" w:rsidRPr="00FD0322" w:rsidRDefault="00A83EF2" w:rsidP="009F4468">
            <w:pPr>
              <w:tabs>
                <w:tab w:val="left" w:pos="6761"/>
              </w:tabs>
              <w:jc w:val="center"/>
              <w:rPr>
                <w:lang w:val="uk-UA"/>
              </w:rPr>
            </w:pPr>
            <w:r>
              <w:rPr>
                <w:lang w:val="uk-UA"/>
              </w:rPr>
              <w:t>107,2</w:t>
            </w:r>
            <w:r w:rsidRPr="00FD0322">
              <w:rPr>
                <w:lang w:val="uk-UA"/>
              </w:rPr>
              <w:t>%</w:t>
            </w:r>
          </w:p>
        </w:tc>
        <w:tc>
          <w:tcPr>
            <w:tcW w:w="979" w:type="dxa"/>
            <w:shd w:val="clear" w:color="auto" w:fill="CCC0D9" w:themeFill="accent4" w:themeFillTint="66"/>
            <w:vAlign w:val="center"/>
          </w:tcPr>
          <w:p w:rsidR="00A83EF2" w:rsidRPr="00FD0322" w:rsidRDefault="00A83EF2" w:rsidP="009F4468">
            <w:pPr>
              <w:tabs>
                <w:tab w:val="left" w:pos="6761"/>
              </w:tabs>
              <w:jc w:val="center"/>
              <w:rPr>
                <w:b/>
                <w:lang w:val="uk-UA"/>
              </w:rPr>
            </w:pPr>
            <w:r w:rsidRPr="00FD0322">
              <w:rPr>
                <w:b/>
                <w:lang w:val="uk-UA"/>
              </w:rPr>
              <w:t>98%</w:t>
            </w:r>
          </w:p>
        </w:tc>
        <w:tc>
          <w:tcPr>
            <w:tcW w:w="1393" w:type="dxa"/>
            <w:vAlign w:val="center"/>
          </w:tcPr>
          <w:p w:rsidR="00A83EF2" w:rsidRPr="00FD0322" w:rsidRDefault="00A83EF2" w:rsidP="009F4468">
            <w:pPr>
              <w:tabs>
                <w:tab w:val="left" w:pos="6761"/>
              </w:tabs>
              <w:jc w:val="center"/>
              <w:rPr>
                <w:lang w:val="uk-UA"/>
              </w:rPr>
            </w:pPr>
            <w:r>
              <w:rPr>
                <w:lang w:val="uk-UA"/>
              </w:rPr>
              <w:t>148,7</w:t>
            </w:r>
            <w:r w:rsidRPr="00FD0322">
              <w:rPr>
                <w:lang w:val="uk-UA"/>
              </w:rPr>
              <w:t>%</w:t>
            </w:r>
          </w:p>
        </w:tc>
        <w:tc>
          <w:tcPr>
            <w:tcW w:w="1393" w:type="dxa"/>
            <w:vAlign w:val="center"/>
          </w:tcPr>
          <w:p w:rsidR="00A83EF2" w:rsidRPr="00FD0322" w:rsidRDefault="00A83EF2" w:rsidP="009F4468">
            <w:pPr>
              <w:tabs>
                <w:tab w:val="left" w:pos="6761"/>
              </w:tabs>
              <w:jc w:val="center"/>
              <w:rPr>
                <w:lang w:val="uk-UA"/>
              </w:rPr>
            </w:pPr>
            <w:r>
              <w:rPr>
                <w:lang w:val="uk-UA"/>
              </w:rPr>
              <w:t>117,6</w:t>
            </w:r>
            <w:r w:rsidRPr="00FD0322">
              <w:rPr>
                <w:lang w:val="uk-UA"/>
              </w:rPr>
              <w:t>%</w:t>
            </w:r>
          </w:p>
        </w:tc>
        <w:tc>
          <w:tcPr>
            <w:tcW w:w="980" w:type="dxa"/>
            <w:shd w:val="clear" w:color="auto" w:fill="CCC0D9" w:themeFill="accent4" w:themeFillTint="66"/>
            <w:vAlign w:val="center"/>
          </w:tcPr>
          <w:p w:rsidR="00A83EF2" w:rsidRDefault="00A83EF2" w:rsidP="009F4468">
            <w:pPr>
              <w:tabs>
                <w:tab w:val="left" w:pos="6761"/>
              </w:tabs>
              <w:jc w:val="center"/>
              <w:rPr>
                <w:b/>
                <w:lang w:val="uk-UA"/>
              </w:rPr>
            </w:pPr>
            <w:r>
              <w:rPr>
                <w:b/>
                <w:lang w:val="uk-UA"/>
              </w:rPr>
              <w:t>137%</w:t>
            </w:r>
          </w:p>
        </w:tc>
        <w:tc>
          <w:tcPr>
            <w:tcW w:w="1223" w:type="dxa"/>
            <w:shd w:val="clear" w:color="auto" w:fill="FABF8F" w:themeFill="accent6" w:themeFillTint="99"/>
            <w:vAlign w:val="center"/>
          </w:tcPr>
          <w:p w:rsidR="00A83EF2" w:rsidRDefault="003473F2" w:rsidP="009F4468">
            <w:pPr>
              <w:tabs>
                <w:tab w:val="left" w:pos="6761"/>
              </w:tabs>
              <w:jc w:val="center"/>
              <w:rPr>
                <w:b/>
                <w:lang w:val="uk-UA"/>
              </w:rPr>
            </w:pPr>
            <w:r>
              <w:rPr>
                <w:b/>
                <w:lang w:val="uk-UA"/>
              </w:rPr>
              <w:t>134,5</w:t>
            </w:r>
            <w:r w:rsidR="00A83EF2">
              <w:rPr>
                <w:b/>
                <w:lang w:val="uk-UA"/>
              </w:rPr>
              <w:t>%</w:t>
            </w:r>
          </w:p>
        </w:tc>
      </w:tr>
    </w:tbl>
    <w:p w:rsidR="00534A27" w:rsidRDefault="00534A27" w:rsidP="00A83EF2">
      <w:pPr>
        <w:tabs>
          <w:tab w:val="left" w:pos="6761"/>
        </w:tabs>
        <w:rPr>
          <w:lang w:val="uk-UA"/>
        </w:rPr>
      </w:pPr>
    </w:p>
    <w:p w:rsidR="00A83EF2" w:rsidRDefault="00A83EF2" w:rsidP="009441A5">
      <w:pPr>
        <w:tabs>
          <w:tab w:val="left" w:pos="6761"/>
        </w:tabs>
        <w:rPr>
          <w:lang w:val="uk-UA"/>
        </w:rPr>
      </w:pPr>
      <w:r>
        <w:rPr>
          <w:lang w:val="uk-UA"/>
        </w:rPr>
        <w:t>Моніторинг кількості платників</w:t>
      </w:r>
      <w:r w:rsidRPr="00677A48">
        <w:rPr>
          <w:lang w:val="uk-UA"/>
        </w:rPr>
        <w:t xml:space="preserve"> св</w:t>
      </w:r>
      <w:r>
        <w:rPr>
          <w:lang w:val="uk-UA"/>
        </w:rPr>
        <w:t>ідчить про їх щорічне збільшення</w:t>
      </w:r>
      <w:r w:rsidRPr="00677A48">
        <w:rPr>
          <w:lang w:val="uk-UA"/>
        </w:rPr>
        <w:t>.</w:t>
      </w:r>
    </w:p>
    <w:p w:rsidR="00A83EF2" w:rsidRDefault="00A83EF2" w:rsidP="009441A5">
      <w:pPr>
        <w:tabs>
          <w:tab w:val="left" w:pos="6761"/>
        </w:tabs>
        <w:rPr>
          <w:lang w:val="uk-UA"/>
        </w:rPr>
      </w:pPr>
    </w:p>
    <w:tbl>
      <w:tblPr>
        <w:tblStyle w:val="a5"/>
        <w:tblW w:w="10080" w:type="dxa"/>
        <w:tblInd w:w="-432" w:type="dxa"/>
        <w:tblLook w:val="01E0" w:firstRow="1" w:lastRow="1" w:firstColumn="1" w:lastColumn="1" w:noHBand="0" w:noVBand="0"/>
      </w:tblPr>
      <w:tblGrid>
        <w:gridCol w:w="648"/>
        <w:gridCol w:w="4003"/>
        <w:gridCol w:w="5429"/>
      </w:tblGrid>
      <w:tr w:rsidR="00A575C4" w:rsidRPr="006365CD" w:rsidTr="00765377">
        <w:tc>
          <w:tcPr>
            <w:tcW w:w="648" w:type="dxa"/>
            <w:tcBorders>
              <w:top w:val="single" w:sz="4" w:space="0" w:color="auto"/>
              <w:left w:val="single" w:sz="4" w:space="0" w:color="auto"/>
              <w:bottom w:val="single" w:sz="4" w:space="0" w:color="auto"/>
              <w:right w:val="single" w:sz="4" w:space="0" w:color="auto"/>
            </w:tcBorders>
          </w:tcPr>
          <w:p w:rsidR="00A575C4" w:rsidRPr="00A25224" w:rsidRDefault="00A575C4" w:rsidP="00765377">
            <w:pPr>
              <w:pStyle w:val="a3"/>
              <w:tabs>
                <w:tab w:val="left" w:pos="6761"/>
              </w:tabs>
              <w:ind w:firstLine="0"/>
              <w:rPr>
                <w:b w:val="0"/>
                <w:sz w:val="24"/>
                <w:szCs w:val="24"/>
              </w:rPr>
            </w:pPr>
            <w:r>
              <w:rPr>
                <w:b w:val="0"/>
                <w:sz w:val="24"/>
                <w:szCs w:val="24"/>
              </w:rPr>
              <w:lastRenderedPageBreak/>
              <w:t>9</w:t>
            </w:r>
            <w:r w:rsidRPr="00A25224">
              <w:rPr>
                <w:b w:val="0"/>
                <w:sz w:val="24"/>
                <w:szCs w:val="24"/>
              </w:rPr>
              <w:t>.</w:t>
            </w:r>
          </w:p>
        </w:tc>
        <w:tc>
          <w:tcPr>
            <w:tcW w:w="4003" w:type="dxa"/>
            <w:tcBorders>
              <w:top w:val="single" w:sz="4" w:space="0" w:color="auto"/>
              <w:left w:val="single" w:sz="4" w:space="0" w:color="auto"/>
              <w:bottom w:val="single" w:sz="4" w:space="0" w:color="auto"/>
              <w:right w:val="single" w:sz="4" w:space="0" w:color="auto"/>
            </w:tcBorders>
          </w:tcPr>
          <w:p w:rsidR="00A575C4" w:rsidRPr="00A25224" w:rsidRDefault="00A575C4" w:rsidP="00BC6811">
            <w:pPr>
              <w:tabs>
                <w:tab w:val="left" w:pos="6761"/>
              </w:tabs>
              <w:jc w:val="both"/>
              <w:rPr>
                <w:b/>
                <w:lang w:val="uk-UA"/>
              </w:rPr>
            </w:pPr>
            <w:r w:rsidRPr="00A25224">
              <w:rPr>
                <w:b/>
                <w:lang w:val="uk-UA"/>
              </w:rPr>
              <w:t>Оцінка результатів реалізації регуляторного акта та ступеня досягнення визначених цілей</w:t>
            </w:r>
          </w:p>
          <w:p w:rsidR="00A575C4" w:rsidRPr="00A25224" w:rsidRDefault="00A575C4" w:rsidP="00765377">
            <w:pPr>
              <w:tabs>
                <w:tab w:val="left" w:pos="6761"/>
              </w:tabs>
              <w:jc w:val="both"/>
              <w:rPr>
                <w:b/>
                <w:lang w:val="uk-UA"/>
              </w:rPr>
            </w:pPr>
          </w:p>
        </w:tc>
        <w:tc>
          <w:tcPr>
            <w:tcW w:w="5429" w:type="dxa"/>
            <w:tcBorders>
              <w:top w:val="single" w:sz="4" w:space="0" w:color="auto"/>
              <w:left w:val="single" w:sz="4" w:space="0" w:color="auto"/>
              <w:bottom w:val="single" w:sz="4" w:space="0" w:color="auto"/>
              <w:right w:val="single" w:sz="4" w:space="0" w:color="auto"/>
            </w:tcBorders>
          </w:tcPr>
          <w:p w:rsidR="00F7466B" w:rsidRPr="00F7466B" w:rsidRDefault="00A84D79" w:rsidP="00F7466B">
            <w:pPr>
              <w:jc w:val="both"/>
              <w:rPr>
                <w:lang w:val="uk-UA"/>
              </w:rPr>
            </w:pPr>
            <w:r>
              <w:rPr>
                <w:lang w:val="uk-UA"/>
              </w:rPr>
              <w:t xml:space="preserve">     </w:t>
            </w:r>
            <w:r w:rsidR="00F7466B" w:rsidRPr="00F7466B">
              <w:rPr>
                <w:lang w:val="uk-UA"/>
              </w:rPr>
              <w:t>Аналіз результатів реалізації регуляторного акта свідчить про позитивну та стабільну динаміку надходжень податку на нерухоме майно до бюджету Чорноморської міської територіальної громади</w:t>
            </w:r>
            <w:r w:rsidR="00211B6B">
              <w:t xml:space="preserve"> </w:t>
            </w:r>
            <w:r w:rsidR="00211B6B" w:rsidRPr="00211B6B">
              <w:rPr>
                <w:lang w:val="uk-UA"/>
              </w:rPr>
              <w:t>Одеського району Одеської області</w:t>
            </w:r>
            <w:r w:rsidR="00F7466B" w:rsidRPr="00F7466B">
              <w:rPr>
                <w:lang w:val="uk-UA"/>
              </w:rPr>
              <w:t>. Введення чітко визначених ставок і пільг сприяло створенню передбачуваних умов для платників податків, що, у свою чергу, забезпечило стабільність податкових надходжень.</w:t>
            </w:r>
          </w:p>
          <w:p w:rsidR="00F7466B" w:rsidRPr="00F7466B" w:rsidRDefault="00A84D79" w:rsidP="00F7466B">
            <w:pPr>
              <w:jc w:val="both"/>
              <w:rPr>
                <w:lang w:val="uk-UA"/>
              </w:rPr>
            </w:pPr>
            <w:r>
              <w:rPr>
                <w:lang w:val="uk-UA"/>
              </w:rPr>
              <w:t xml:space="preserve">     </w:t>
            </w:r>
            <w:r w:rsidR="00F7466B" w:rsidRPr="00F7466B">
              <w:rPr>
                <w:lang w:val="uk-UA"/>
              </w:rPr>
              <w:t>Зростання обсягу надходжень стало результатом підвищення рівня податкової дисципліни серед платників, що підтверджується зменшенням кількості випадків несвоєчасної сплати податку</w:t>
            </w:r>
            <w:r w:rsidR="00211B6B">
              <w:rPr>
                <w:lang w:val="uk-UA"/>
              </w:rPr>
              <w:t xml:space="preserve"> та зменшенням податкового боргу</w:t>
            </w:r>
            <w:r w:rsidR="00F7466B" w:rsidRPr="00F7466B">
              <w:rPr>
                <w:lang w:val="uk-UA"/>
              </w:rPr>
              <w:t xml:space="preserve">. Також позитивний ефект мала адаптація ставок до реалій місцевого підприємницького середовища, що дозволило мінімізувати ризики податкового навантаження для суб’єктів господарювання та </w:t>
            </w:r>
            <w:r w:rsidR="00211B6B">
              <w:rPr>
                <w:lang w:val="uk-UA"/>
              </w:rPr>
              <w:t>малозахищених</w:t>
            </w:r>
            <w:r w:rsidR="00F7466B" w:rsidRPr="00F7466B">
              <w:rPr>
                <w:lang w:val="uk-UA"/>
              </w:rPr>
              <w:t xml:space="preserve"> верств населення.</w:t>
            </w:r>
            <w:r>
              <w:rPr>
                <w:lang w:val="uk-UA"/>
              </w:rPr>
              <w:t xml:space="preserve"> </w:t>
            </w:r>
            <w:r w:rsidR="00F7466B" w:rsidRPr="00F7466B">
              <w:rPr>
                <w:lang w:val="uk-UA"/>
              </w:rPr>
              <w:t xml:space="preserve">Надання пільг зі сплати податку окремим категоріям платників дозволило зменшити соціальну напругу та сприяло підтримці малозабезпечених громадян. Це, у свою чергу, позитивно вплинуло на рівень </w:t>
            </w:r>
            <w:r w:rsidRPr="00A84D79">
              <w:rPr>
                <w:lang w:val="uk-UA"/>
              </w:rPr>
              <w:t>фінансової стабільності громади</w:t>
            </w:r>
            <w:r w:rsidR="00F7466B" w:rsidRPr="00F7466B">
              <w:rPr>
                <w:lang w:val="uk-UA"/>
              </w:rPr>
              <w:t>.</w:t>
            </w:r>
          </w:p>
          <w:p w:rsidR="00F7466B" w:rsidRPr="00F7466B" w:rsidRDefault="00A84D79" w:rsidP="00F7466B">
            <w:pPr>
              <w:jc w:val="both"/>
              <w:rPr>
                <w:lang w:val="uk-UA"/>
              </w:rPr>
            </w:pPr>
            <w:r>
              <w:rPr>
                <w:lang w:val="uk-UA"/>
              </w:rPr>
              <w:t xml:space="preserve">     </w:t>
            </w:r>
            <w:r w:rsidR="00F7466B" w:rsidRPr="00F7466B">
              <w:rPr>
                <w:lang w:val="uk-UA"/>
              </w:rPr>
              <w:t>Порівняльний аналіз із показниками попередніх років свідчить про стабільне виконання планових показників бюджету, що забезпечило фінансову основу для реалізації програм розвитку громади. Регуляторний акт також стимулював підприємницьку активність, оскільки сприяв створенню сприятливих умов для бізнесу через зважений підхід до визначення ставок і пільг.</w:t>
            </w:r>
          </w:p>
          <w:p w:rsidR="00A575C4" w:rsidRPr="00A25224" w:rsidRDefault="00F864D0" w:rsidP="00F864D0">
            <w:pPr>
              <w:jc w:val="both"/>
              <w:rPr>
                <w:lang w:val="uk-UA"/>
              </w:rPr>
            </w:pPr>
            <w:r>
              <w:rPr>
                <w:lang w:val="uk-UA"/>
              </w:rPr>
              <w:t xml:space="preserve">     Р</w:t>
            </w:r>
            <w:r w:rsidR="00F7466B" w:rsidRPr="00F7466B">
              <w:rPr>
                <w:lang w:val="uk-UA"/>
              </w:rPr>
              <w:t xml:space="preserve">еалізація регуляторного акта дозволила досягти визначених цілей, включаючи наповнення бюджету, забезпечення фінансової стабільності громади, зменшення податкового навантаження на соціально вразливі категорії населення </w:t>
            </w:r>
            <w:r>
              <w:rPr>
                <w:lang w:val="uk-UA"/>
              </w:rPr>
              <w:t xml:space="preserve">                     </w:t>
            </w:r>
            <w:r w:rsidR="00F7466B" w:rsidRPr="00F7466B">
              <w:rPr>
                <w:lang w:val="uk-UA"/>
              </w:rPr>
              <w:t>та стимулювання розвитку місцевого підприємництва</w:t>
            </w:r>
            <w:r>
              <w:rPr>
                <w:lang w:val="uk-UA"/>
              </w:rPr>
              <w:t xml:space="preserve"> </w:t>
            </w:r>
            <w:r w:rsidRPr="00F864D0">
              <w:rPr>
                <w:lang w:val="uk-UA"/>
              </w:rPr>
              <w:t>навіть у складних обставинах</w:t>
            </w:r>
            <w:r>
              <w:rPr>
                <w:lang w:val="uk-UA"/>
              </w:rPr>
              <w:t xml:space="preserve"> спричинених введенням воєнного стану в країні</w:t>
            </w:r>
            <w:r w:rsidR="00F7466B" w:rsidRPr="00F7466B">
              <w:rPr>
                <w:lang w:val="uk-UA"/>
              </w:rPr>
              <w:t>.</w:t>
            </w:r>
          </w:p>
        </w:tc>
      </w:tr>
    </w:tbl>
    <w:p w:rsidR="00A575C4" w:rsidRDefault="00A575C4" w:rsidP="009441A5">
      <w:pPr>
        <w:tabs>
          <w:tab w:val="left" w:pos="6761"/>
        </w:tabs>
        <w:rPr>
          <w:lang w:val="uk-UA"/>
        </w:rPr>
      </w:pPr>
    </w:p>
    <w:p w:rsidR="00A575C4" w:rsidRPr="00027DCF" w:rsidRDefault="00A575C4" w:rsidP="009441A5">
      <w:pPr>
        <w:tabs>
          <w:tab w:val="left" w:pos="6761"/>
        </w:tabs>
        <w:rPr>
          <w:lang w:val="uk-UA"/>
        </w:rPr>
      </w:pPr>
    </w:p>
    <w:p w:rsidR="00B319D6" w:rsidRDefault="00B319D6" w:rsidP="009441A5">
      <w:pPr>
        <w:tabs>
          <w:tab w:val="left" w:pos="6761"/>
        </w:tabs>
        <w:rPr>
          <w:b/>
          <w:sz w:val="28"/>
          <w:szCs w:val="28"/>
          <w:lang w:val="uk-UA"/>
        </w:rPr>
      </w:pPr>
      <w:bookmarkStart w:id="0" w:name="_GoBack"/>
      <w:bookmarkEnd w:id="0"/>
    </w:p>
    <w:p w:rsidR="004027F2" w:rsidRDefault="004027F2" w:rsidP="00E00BFE">
      <w:pPr>
        <w:tabs>
          <w:tab w:val="left" w:pos="6761"/>
        </w:tabs>
        <w:ind w:left="-426"/>
        <w:rPr>
          <w:b/>
          <w:sz w:val="28"/>
          <w:szCs w:val="28"/>
          <w:lang w:val="uk-UA"/>
        </w:rPr>
      </w:pPr>
      <w:r w:rsidRPr="004027F2">
        <w:rPr>
          <w:b/>
          <w:sz w:val="28"/>
          <w:szCs w:val="28"/>
          <w:lang w:val="uk-UA"/>
        </w:rPr>
        <w:t xml:space="preserve">Заступник начальника фінансового </w:t>
      </w:r>
    </w:p>
    <w:p w:rsidR="009441A5" w:rsidRDefault="004027F2" w:rsidP="004027F2">
      <w:pPr>
        <w:tabs>
          <w:tab w:val="left" w:pos="6761"/>
        </w:tabs>
        <w:ind w:left="-426"/>
        <w:rPr>
          <w:lang w:val="uk-UA"/>
        </w:rPr>
      </w:pPr>
      <w:r w:rsidRPr="004027F2">
        <w:rPr>
          <w:b/>
          <w:sz w:val="28"/>
          <w:szCs w:val="28"/>
          <w:lang w:val="uk-UA"/>
        </w:rPr>
        <w:t xml:space="preserve">управління – начальник бюджетного відділу   </w:t>
      </w:r>
      <w:r>
        <w:rPr>
          <w:b/>
          <w:sz w:val="28"/>
          <w:szCs w:val="28"/>
          <w:lang w:val="uk-UA"/>
        </w:rPr>
        <w:t xml:space="preserve"> </w:t>
      </w:r>
      <w:r w:rsidR="00E00BFE">
        <w:rPr>
          <w:b/>
          <w:sz w:val="28"/>
          <w:szCs w:val="28"/>
          <w:lang w:val="uk-UA"/>
        </w:rPr>
        <w:t xml:space="preserve">             </w:t>
      </w:r>
      <w:r w:rsidRPr="004027F2">
        <w:rPr>
          <w:b/>
          <w:sz w:val="28"/>
          <w:szCs w:val="28"/>
          <w:lang w:val="uk-UA"/>
        </w:rPr>
        <w:t xml:space="preserve">    Світлана ПЄРКОВА</w:t>
      </w:r>
    </w:p>
    <w:p w:rsidR="009441A5" w:rsidRDefault="009441A5" w:rsidP="009441A5">
      <w:pPr>
        <w:tabs>
          <w:tab w:val="left" w:pos="6761"/>
        </w:tabs>
        <w:rPr>
          <w:lang w:val="uk-UA"/>
        </w:rPr>
      </w:pPr>
    </w:p>
    <w:p w:rsidR="00A174B3" w:rsidRPr="000E7F66" w:rsidRDefault="00A174B3">
      <w:pPr>
        <w:rPr>
          <w:lang w:val="uk-UA"/>
        </w:rPr>
      </w:pPr>
    </w:p>
    <w:sectPr w:rsidR="00A174B3" w:rsidRPr="000E7F66" w:rsidSect="00922E9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C0" w:rsidRDefault="00CA34C0" w:rsidP="00A575C4">
      <w:r>
        <w:separator/>
      </w:r>
    </w:p>
  </w:endnote>
  <w:endnote w:type="continuationSeparator" w:id="0">
    <w:p w:rsidR="00CA34C0" w:rsidRDefault="00CA34C0" w:rsidP="00A5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C0" w:rsidRDefault="00CA34C0" w:rsidP="00A575C4">
      <w:r>
        <w:separator/>
      </w:r>
    </w:p>
  </w:footnote>
  <w:footnote w:type="continuationSeparator" w:id="0">
    <w:p w:rsidR="00CA34C0" w:rsidRDefault="00CA34C0" w:rsidP="00A5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41A5"/>
    <w:rsid w:val="00000E10"/>
    <w:rsid w:val="00016520"/>
    <w:rsid w:val="00022103"/>
    <w:rsid w:val="0002458E"/>
    <w:rsid w:val="0002514D"/>
    <w:rsid w:val="00030E1E"/>
    <w:rsid w:val="00047604"/>
    <w:rsid w:val="00051D25"/>
    <w:rsid w:val="000524E1"/>
    <w:rsid w:val="0006546F"/>
    <w:rsid w:val="000769A6"/>
    <w:rsid w:val="000A324A"/>
    <w:rsid w:val="000A6E20"/>
    <w:rsid w:val="000B5010"/>
    <w:rsid w:val="000C7AAC"/>
    <w:rsid w:val="000D2FDF"/>
    <w:rsid w:val="000E7F66"/>
    <w:rsid w:val="00112074"/>
    <w:rsid w:val="00112302"/>
    <w:rsid w:val="00126979"/>
    <w:rsid w:val="00131502"/>
    <w:rsid w:val="00137FDE"/>
    <w:rsid w:val="0014483C"/>
    <w:rsid w:val="0015210E"/>
    <w:rsid w:val="00153283"/>
    <w:rsid w:val="0015548D"/>
    <w:rsid w:val="00156ABD"/>
    <w:rsid w:val="00164E80"/>
    <w:rsid w:val="00164F48"/>
    <w:rsid w:val="00165B55"/>
    <w:rsid w:val="0017781C"/>
    <w:rsid w:val="00183884"/>
    <w:rsid w:val="00186308"/>
    <w:rsid w:val="001905FE"/>
    <w:rsid w:val="001925DE"/>
    <w:rsid w:val="001928A3"/>
    <w:rsid w:val="00192C83"/>
    <w:rsid w:val="001A414F"/>
    <w:rsid w:val="001B1E2A"/>
    <w:rsid w:val="001B4396"/>
    <w:rsid w:val="001E25EB"/>
    <w:rsid w:val="001F162B"/>
    <w:rsid w:val="002018B1"/>
    <w:rsid w:val="00202B3B"/>
    <w:rsid w:val="00211B6B"/>
    <w:rsid w:val="00215809"/>
    <w:rsid w:val="00217F2F"/>
    <w:rsid w:val="00222B94"/>
    <w:rsid w:val="00243169"/>
    <w:rsid w:val="00245EDB"/>
    <w:rsid w:val="00246507"/>
    <w:rsid w:val="00263237"/>
    <w:rsid w:val="00267F1C"/>
    <w:rsid w:val="00282106"/>
    <w:rsid w:val="00283D6D"/>
    <w:rsid w:val="002847DE"/>
    <w:rsid w:val="00290135"/>
    <w:rsid w:val="002A380E"/>
    <w:rsid w:val="002A3C45"/>
    <w:rsid w:val="002B0410"/>
    <w:rsid w:val="002B42DD"/>
    <w:rsid w:val="002E11A3"/>
    <w:rsid w:val="002E5AA4"/>
    <w:rsid w:val="002F438A"/>
    <w:rsid w:val="0030716B"/>
    <w:rsid w:val="00307F8E"/>
    <w:rsid w:val="0031265F"/>
    <w:rsid w:val="00316960"/>
    <w:rsid w:val="003473F2"/>
    <w:rsid w:val="00353203"/>
    <w:rsid w:val="0035322F"/>
    <w:rsid w:val="003555E5"/>
    <w:rsid w:val="00370325"/>
    <w:rsid w:val="003719CD"/>
    <w:rsid w:val="00373000"/>
    <w:rsid w:val="00374E05"/>
    <w:rsid w:val="00376BCC"/>
    <w:rsid w:val="0038331F"/>
    <w:rsid w:val="003A5D8E"/>
    <w:rsid w:val="003A6965"/>
    <w:rsid w:val="003B342C"/>
    <w:rsid w:val="003B38B2"/>
    <w:rsid w:val="003C0215"/>
    <w:rsid w:val="003C2EE6"/>
    <w:rsid w:val="003C7D03"/>
    <w:rsid w:val="003D19B2"/>
    <w:rsid w:val="003E256B"/>
    <w:rsid w:val="003E5367"/>
    <w:rsid w:val="003F1375"/>
    <w:rsid w:val="003F2568"/>
    <w:rsid w:val="004027F2"/>
    <w:rsid w:val="00417E1F"/>
    <w:rsid w:val="00423E07"/>
    <w:rsid w:val="00440FC6"/>
    <w:rsid w:val="00444904"/>
    <w:rsid w:val="00446ECA"/>
    <w:rsid w:val="00455085"/>
    <w:rsid w:val="00457528"/>
    <w:rsid w:val="00491329"/>
    <w:rsid w:val="004955FE"/>
    <w:rsid w:val="004C49DF"/>
    <w:rsid w:val="004D1E43"/>
    <w:rsid w:val="004D5AE1"/>
    <w:rsid w:val="004D7BD5"/>
    <w:rsid w:val="004F1FB9"/>
    <w:rsid w:val="004F233C"/>
    <w:rsid w:val="004F530C"/>
    <w:rsid w:val="005044CE"/>
    <w:rsid w:val="0050470B"/>
    <w:rsid w:val="00507124"/>
    <w:rsid w:val="0052166D"/>
    <w:rsid w:val="00526BD2"/>
    <w:rsid w:val="00534A27"/>
    <w:rsid w:val="00536130"/>
    <w:rsid w:val="00550B13"/>
    <w:rsid w:val="005627CA"/>
    <w:rsid w:val="00572845"/>
    <w:rsid w:val="005A052F"/>
    <w:rsid w:val="005B29A4"/>
    <w:rsid w:val="005B3630"/>
    <w:rsid w:val="005B4E6F"/>
    <w:rsid w:val="005B5756"/>
    <w:rsid w:val="005B77C2"/>
    <w:rsid w:val="005C0F1B"/>
    <w:rsid w:val="005D17F4"/>
    <w:rsid w:val="005D66E8"/>
    <w:rsid w:val="005E0CBB"/>
    <w:rsid w:val="005F5BA5"/>
    <w:rsid w:val="005F76DE"/>
    <w:rsid w:val="00605FDC"/>
    <w:rsid w:val="0060648B"/>
    <w:rsid w:val="00630B3A"/>
    <w:rsid w:val="006365CD"/>
    <w:rsid w:val="00646D54"/>
    <w:rsid w:val="00666A72"/>
    <w:rsid w:val="0067328F"/>
    <w:rsid w:val="0067574E"/>
    <w:rsid w:val="00676D6E"/>
    <w:rsid w:val="00677A48"/>
    <w:rsid w:val="0068072D"/>
    <w:rsid w:val="00690BA7"/>
    <w:rsid w:val="00691724"/>
    <w:rsid w:val="00693C73"/>
    <w:rsid w:val="00694437"/>
    <w:rsid w:val="00695267"/>
    <w:rsid w:val="006A2236"/>
    <w:rsid w:val="006A687B"/>
    <w:rsid w:val="006A6936"/>
    <w:rsid w:val="006C1B0A"/>
    <w:rsid w:val="006C2E1F"/>
    <w:rsid w:val="006D5328"/>
    <w:rsid w:val="006D69DC"/>
    <w:rsid w:val="006E5D47"/>
    <w:rsid w:val="0072023A"/>
    <w:rsid w:val="00722E41"/>
    <w:rsid w:val="0072572D"/>
    <w:rsid w:val="0072591E"/>
    <w:rsid w:val="007277A7"/>
    <w:rsid w:val="00742FD6"/>
    <w:rsid w:val="007561A8"/>
    <w:rsid w:val="007572BC"/>
    <w:rsid w:val="00757C55"/>
    <w:rsid w:val="00772234"/>
    <w:rsid w:val="00773F64"/>
    <w:rsid w:val="007741B6"/>
    <w:rsid w:val="00775DBD"/>
    <w:rsid w:val="00783C2F"/>
    <w:rsid w:val="007861C7"/>
    <w:rsid w:val="00794377"/>
    <w:rsid w:val="007A45AA"/>
    <w:rsid w:val="007B0725"/>
    <w:rsid w:val="007B3E57"/>
    <w:rsid w:val="007B730C"/>
    <w:rsid w:val="007C29B8"/>
    <w:rsid w:val="007D1163"/>
    <w:rsid w:val="007E189A"/>
    <w:rsid w:val="007F2E63"/>
    <w:rsid w:val="007F5F8F"/>
    <w:rsid w:val="007F793C"/>
    <w:rsid w:val="00801189"/>
    <w:rsid w:val="008025A2"/>
    <w:rsid w:val="00804087"/>
    <w:rsid w:val="00807A44"/>
    <w:rsid w:val="0081073B"/>
    <w:rsid w:val="00815406"/>
    <w:rsid w:val="00815BDC"/>
    <w:rsid w:val="00816EDE"/>
    <w:rsid w:val="008218D0"/>
    <w:rsid w:val="00823345"/>
    <w:rsid w:val="008315A0"/>
    <w:rsid w:val="00840F08"/>
    <w:rsid w:val="00841FFD"/>
    <w:rsid w:val="008465C1"/>
    <w:rsid w:val="00865EE9"/>
    <w:rsid w:val="008756F4"/>
    <w:rsid w:val="00882F74"/>
    <w:rsid w:val="00887E5A"/>
    <w:rsid w:val="0089210E"/>
    <w:rsid w:val="00893718"/>
    <w:rsid w:val="0089510A"/>
    <w:rsid w:val="0089604E"/>
    <w:rsid w:val="008A3834"/>
    <w:rsid w:val="008A7F8B"/>
    <w:rsid w:val="008C6BFF"/>
    <w:rsid w:val="008D2E7E"/>
    <w:rsid w:val="008E1712"/>
    <w:rsid w:val="008E38B9"/>
    <w:rsid w:val="008E4C00"/>
    <w:rsid w:val="008E50FC"/>
    <w:rsid w:val="008E73AE"/>
    <w:rsid w:val="008F336E"/>
    <w:rsid w:val="009017BB"/>
    <w:rsid w:val="00903579"/>
    <w:rsid w:val="00911348"/>
    <w:rsid w:val="00921A25"/>
    <w:rsid w:val="0092293C"/>
    <w:rsid w:val="00922E9C"/>
    <w:rsid w:val="00922F0F"/>
    <w:rsid w:val="00925CE2"/>
    <w:rsid w:val="0093055F"/>
    <w:rsid w:val="009441A5"/>
    <w:rsid w:val="00946C05"/>
    <w:rsid w:val="009624C9"/>
    <w:rsid w:val="00980619"/>
    <w:rsid w:val="009821D0"/>
    <w:rsid w:val="009842D2"/>
    <w:rsid w:val="00990510"/>
    <w:rsid w:val="0099338E"/>
    <w:rsid w:val="009958F2"/>
    <w:rsid w:val="009B7000"/>
    <w:rsid w:val="009C6E65"/>
    <w:rsid w:val="009F4468"/>
    <w:rsid w:val="009F4C5D"/>
    <w:rsid w:val="00A113EB"/>
    <w:rsid w:val="00A1257B"/>
    <w:rsid w:val="00A174B3"/>
    <w:rsid w:val="00A2157D"/>
    <w:rsid w:val="00A365A1"/>
    <w:rsid w:val="00A438DB"/>
    <w:rsid w:val="00A575C4"/>
    <w:rsid w:val="00A62ADD"/>
    <w:rsid w:val="00A67BCF"/>
    <w:rsid w:val="00A70F8B"/>
    <w:rsid w:val="00A73383"/>
    <w:rsid w:val="00A83EF2"/>
    <w:rsid w:val="00A84D79"/>
    <w:rsid w:val="00A924E4"/>
    <w:rsid w:val="00A935F9"/>
    <w:rsid w:val="00AA2FE9"/>
    <w:rsid w:val="00AA401B"/>
    <w:rsid w:val="00AA603E"/>
    <w:rsid w:val="00AA6B87"/>
    <w:rsid w:val="00AA798D"/>
    <w:rsid w:val="00AB523C"/>
    <w:rsid w:val="00AC5D9D"/>
    <w:rsid w:val="00AC6462"/>
    <w:rsid w:val="00AC730D"/>
    <w:rsid w:val="00AD58DA"/>
    <w:rsid w:val="00AE02F7"/>
    <w:rsid w:val="00AE35E6"/>
    <w:rsid w:val="00AF40F3"/>
    <w:rsid w:val="00B041ED"/>
    <w:rsid w:val="00B1042C"/>
    <w:rsid w:val="00B11B8D"/>
    <w:rsid w:val="00B2237A"/>
    <w:rsid w:val="00B22FC3"/>
    <w:rsid w:val="00B319D6"/>
    <w:rsid w:val="00B3291D"/>
    <w:rsid w:val="00B410FE"/>
    <w:rsid w:val="00B42EE0"/>
    <w:rsid w:val="00B5418B"/>
    <w:rsid w:val="00B5482D"/>
    <w:rsid w:val="00B67C4F"/>
    <w:rsid w:val="00B73804"/>
    <w:rsid w:val="00B847CB"/>
    <w:rsid w:val="00B90458"/>
    <w:rsid w:val="00B918D3"/>
    <w:rsid w:val="00B93A98"/>
    <w:rsid w:val="00B9776F"/>
    <w:rsid w:val="00B9788E"/>
    <w:rsid w:val="00BC3D59"/>
    <w:rsid w:val="00BC3E49"/>
    <w:rsid w:val="00BC4887"/>
    <w:rsid w:val="00BC6811"/>
    <w:rsid w:val="00BD2AB7"/>
    <w:rsid w:val="00BE2A14"/>
    <w:rsid w:val="00BE4872"/>
    <w:rsid w:val="00BF0D0C"/>
    <w:rsid w:val="00BF0FE1"/>
    <w:rsid w:val="00BF74BF"/>
    <w:rsid w:val="00C05F75"/>
    <w:rsid w:val="00C0732C"/>
    <w:rsid w:val="00C16AC2"/>
    <w:rsid w:val="00C27B89"/>
    <w:rsid w:val="00C361B4"/>
    <w:rsid w:val="00C40CC9"/>
    <w:rsid w:val="00C43187"/>
    <w:rsid w:val="00C4455B"/>
    <w:rsid w:val="00C453E8"/>
    <w:rsid w:val="00C46C76"/>
    <w:rsid w:val="00C51E7E"/>
    <w:rsid w:val="00C71E04"/>
    <w:rsid w:val="00C77FFE"/>
    <w:rsid w:val="00C8470E"/>
    <w:rsid w:val="00C9255F"/>
    <w:rsid w:val="00C96E9F"/>
    <w:rsid w:val="00C972C5"/>
    <w:rsid w:val="00C97352"/>
    <w:rsid w:val="00CA0717"/>
    <w:rsid w:val="00CA0D02"/>
    <w:rsid w:val="00CA34C0"/>
    <w:rsid w:val="00CA3C61"/>
    <w:rsid w:val="00CA3DF4"/>
    <w:rsid w:val="00CA6957"/>
    <w:rsid w:val="00CB1777"/>
    <w:rsid w:val="00CD13E0"/>
    <w:rsid w:val="00CD2824"/>
    <w:rsid w:val="00CD2DF1"/>
    <w:rsid w:val="00D07102"/>
    <w:rsid w:val="00D10074"/>
    <w:rsid w:val="00D11EEE"/>
    <w:rsid w:val="00D1263E"/>
    <w:rsid w:val="00D1287E"/>
    <w:rsid w:val="00D147BC"/>
    <w:rsid w:val="00D15602"/>
    <w:rsid w:val="00D1630E"/>
    <w:rsid w:val="00D363B2"/>
    <w:rsid w:val="00D36731"/>
    <w:rsid w:val="00D4261E"/>
    <w:rsid w:val="00D446C6"/>
    <w:rsid w:val="00D56953"/>
    <w:rsid w:val="00D650BE"/>
    <w:rsid w:val="00D70224"/>
    <w:rsid w:val="00D744C6"/>
    <w:rsid w:val="00D865D7"/>
    <w:rsid w:val="00D90ED6"/>
    <w:rsid w:val="00D91E4D"/>
    <w:rsid w:val="00DA15C1"/>
    <w:rsid w:val="00DA1E63"/>
    <w:rsid w:val="00DA3EFD"/>
    <w:rsid w:val="00DA5154"/>
    <w:rsid w:val="00DB59D0"/>
    <w:rsid w:val="00DC2210"/>
    <w:rsid w:val="00DC43B0"/>
    <w:rsid w:val="00DD1B52"/>
    <w:rsid w:val="00DE33D3"/>
    <w:rsid w:val="00DF32B3"/>
    <w:rsid w:val="00E00BFE"/>
    <w:rsid w:val="00E049B9"/>
    <w:rsid w:val="00E067CC"/>
    <w:rsid w:val="00E32DD3"/>
    <w:rsid w:val="00E3727B"/>
    <w:rsid w:val="00E4479A"/>
    <w:rsid w:val="00E5007E"/>
    <w:rsid w:val="00E51EE4"/>
    <w:rsid w:val="00E62626"/>
    <w:rsid w:val="00E64549"/>
    <w:rsid w:val="00E646B1"/>
    <w:rsid w:val="00E72B8E"/>
    <w:rsid w:val="00E818BD"/>
    <w:rsid w:val="00E83B1F"/>
    <w:rsid w:val="00E84978"/>
    <w:rsid w:val="00E868C5"/>
    <w:rsid w:val="00E92B41"/>
    <w:rsid w:val="00EA2F4F"/>
    <w:rsid w:val="00EA78E3"/>
    <w:rsid w:val="00EB1E77"/>
    <w:rsid w:val="00EC1F8D"/>
    <w:rsid w:val="00ED693D"/>
    <w:rsid w:val="00EE60F6"/>
    <w:rsid w:val="00EF553E"/>
    <w:rsid w:val="00F02EB3"/>
    <w:rsid w:val="00F0306D"/>
    <w:rsid w:val="00F13DFB"/>
    <w:rsid w:val="00F17737"/>
    <w:rsid w:val="00F21846"/>
    <w:rsid w:val="00F41D59"/>
    <w:rsid w:val="00F55349"/>
    <w:rsid w:val="00F565AB"/>
    <w:rsid w:val="00F700A0"/>
    <w:rsid w:val="00F731DD"/>
    <w:rsid w:val="00F7466B"/>
    <w:rsid w:val="00F76F8F"/>
    <w:rsid w:val="00F80CC8"/>
    <w:rsid w:val="00F84E0B"/>
    <w:rsid w:val="00F864D0"/>
    <w:rsid w:val="00F90C06"/>
    <w:rsid w:val="00F960BB"/>
    <w:rsid w:val="00FA20FF"/>
    <w:rsid w:val="00FA2D47"/>
    <w:rsid w:val="00FA58AE"/>
    <w:rsid w:val="00FA7E57"/>
    <w:rsid w:val="00FB7FA7"/>
    <w:rsid w:val="00FC739D"/>
    <w:rsid w:val="00FD0322"/>
    <w:rsid w:val="00FD3994"/>
    <w:rsid w:val="00FE013E"/>
    <w:rsid w:val="00FE79D9"/>
    <w:rsid w:val="00FE7FD7"/>
    <w:rsid w:val="00FF0527"/>
    <w:rsid w:val="00FF1FE7"/>
    <w:rsid w:val="00FF6207"/>
    <w:rsid w:val="00FF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593C2-7DB6-41B0-8930-F44077DF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441A5"/>
    <w:pPr>
      <w:ind w:firstLine="709"/>
      <w:jc w:val="center"/>
    </w:pPr>
    <w:rPr>
      <w:b/>
      <w:sz w:val="28"/>
      <w:szCs w:val="20"/>
      <w:lang w:val="uk-UA"/>
    </w:rPr>
  </w:style>
  <w:style w:type="character" w:customStyle="1" w:styleId="a4">
    <w:name w:val="Назва Знак"/>
    <w:basedOn w:val="a0"/>
    <w:link w:val="a3"/>
    <w:rsid w:val="009441A5"/>
    <w:rPr>
      <w:rFonts w:ascii="Times New Roman" w:eastAsia="Times New Roman" w:hAnsi="Times New Roman" w:cs="Times New Roman"/>
      <w:b/>
      <w:sz w:val="28"/>
      <w:szCs w:val="20"/>
      <w:lang w:val="uk-UA" w:eastAsia="ru-RU"/>
    </w:rPr>
  </w:style>
  <w:style w:type="table" w:styleId="a5">
    <w:name w:val="Table Grid"/>
    <w:basedOn w:val="a1"/>
    <w:rsid w:val="009441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C1B0A"/>
    <w:rPr>
      <w:rFonts w:ascii="Tahoma" w:hAnsi="Tahoma" w:cs="Tahoma"/>
      <w:sz w:val="16"/>
      <w:szCs w:val="16"/>
    </w:rPr>
  </w:style>
  <w:style w:type="character" w:customStyle="1" w:styleId="a7">
    <w:name w:val="Текст у виносці Знак"/>
    <w:basedOn w:val="a0"/>
    <w:link w:val="a6"/>
    <w:uiPriority w:val="99"/>
    <w:semiHidden/>
    <w:rsid w:val="006C1B0A"/>
    <w:rPr>
      <w:rFonts w:ascii="Tahoma" w:eastAsia="Times New Roman" w:hAnsi="Tahoma" w:cs="Tahoma"/>
      <w:sz w:val="16"/>
      <w:szCs w:val="16"/>
      <w:lang w:eastAsia="ru-RU"/>
    </w:rPr>
  </w:style>
  <w:style w:type="paragraph" w:styleId="a8">
    <w:name w:val="Body Text"/>
    <w:basedOn w:val="a"/>
    <w:link w:val="a9"/>
    <w:uiPriority w:val="99"/>
    <w:semiHidden/>
    <w:unhideWhenUsed/>
    <w:rsid w:val="00BC3D59"/>
    <w:pPr>
      <w:spacing w:after="120"/>
    </w:pPr>
  </w:style>
  <w:style w:type="character" w:customStyle="1" w:styleId="a9">
    <w:name w:val="Основний текст Знак"/>
    <w:basedOn w:val="a0"/>
    <w:link w:val="a8"/>
    <w:uiPriority w:val="99"/>
    <w:semiHidden/>
    <w:rsid w:val="00BC3D59"/>
    <w:rPr>
      <w:rFonts w:ascii="Times New Roman" w:eastAsia="Times New Roman" w:hAnsi="Times New Roman" w:cs="Times New Roman"/>
      <w:sz w:val="24"/>
      <w:szCs w:val="24"/>
      <w:lang w:eastAsia="ru-RU"/>
    </w:rPr>
  </w:style>
  <w:style w:type="paragraph" w:styleId="aa">
    <w:name w:val="List Paragraph"/>
    <w:basedOn w:val="a"/>
    <w:uiPriority w:val="34"/>
    <w:qFormat/>
    <w:rsid w:val="00630B3A"/>
    <w:pPr>
      <w:ind w:left="720"/>
      <w:contextualSpacing/>
    </w:pPr>
  </w:style>
  <w:style w:type="paragraph" w:styleId="ab">
    <w:name w:val="header"/>
    <w:basedOn w:val="a"/>
    <w:link w:val="ac"/>
    <w:uiPriority w:val="99"/>
    <w:unhideWhenUsed/>
    <w:rsid w:val="00A575C4"/>
    <w:pPr>
      <w:tabs>
        <w:tab w:val="center" w:pos="4677"/>
        <w:tab w:val="right" w:pos="9355"/>
      </w:tabs>
    </w:pPr>
  </w:style>
  <w:style w:type="character" w:customStyle="1" w:styleId="ac">
    <w:name w:val="Верхній колонтитул Знак"/>
    <w:basedOn w:val="a0"/>
    <w:link w:val="ab"/>
    <w:uiPriority w:val="99"/>
    <w:rsid w:val="00A575C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575C4"/>
    <w:pPr>
      <w:tabs>
        <w:tab w:val="center" w:pos="4677"/>
        <w:tab w:val="right" w:pos="9355"/>
      </w:tabs>
    </w:pPr>
  </w:style>
  <w:style w:type="character" w:customStyle="1" w:styleId="ae">
    <w:name w:val="Нижній колонтитул Знак"/>
    <w:basedOn w:val="a0"/>
    <w:link w:val="ad"/>
    <w:uiPriority w:val="99"/>
    <w:rsid w:val="00A575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89639">
      <w:bodyDiv w:val="1"/>
      <w:marLeft w:val="0"/>
      <w:marRight w:val="0"/>
      <w:marTop w:val="0"/>
      <w:marBottom w:val="0"/>
      <w:divBdr>
        <w:top w:val="none" w:sz="0" w:space="0" w:color="auto"/>
        <w:left w:val="none" w:sz="0" w:space="0" w:color="auto"/>
        <w:bottom w:val="none" w:sz="0" w:space="0" w:color="auto"/>
        <w:right w:val="none" w:sz="0" w:space="0" w:color="auto"/>
      </w:divBdr>
    </w:div>
    <w:div w:id="910503662">
      <w:bodyDiv w:val="1"/>
      <w:marLeft w:val="0"/>
      <w:marRight w:val="0"/>
      <w:marTop w:val="0"/>
      <w:marBottom w:val="0"/>
      <w:divBdr>
        <w:top w:val="none" w:sz="0" w:space="0" w:color="auto"/>
        <w:left w:val="none" w:sz="0" w:space="0" w:color="auto"/>
        <w:bottom w:val="none" w:sz="0" w:space="0" w:color="auto"/>
        <w:right w:val="none" w:sz="0" w:space="0" w:color="auto"/>
      </w:divBdr>
    </w:div>
    <w:div w:id="2064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Динаміка надходжень  податку на нерухоме</a:t>
            </a:r>
            <a:r>
              <a:rPr lang="ru-RU" sz="1400" baseline="0"/>
              <a:t> майно, відмінне від земельної ділянки</a:t>
            </a:r>
            <a:r>
              <a:rPr lang="ru-RU" sz="1400"/>
              <a:t> за 2022- 2024рр. , млн.грн.</a:t>
            </a:r>
          </a:p>
        </c:rich>
      </c:tx>
      <c:layout>
        <c:manualLayout>
          <c:xMode val="edge"/>
          <c:yMode val="edge"/>
          <c:x val="0.12229797697552267"/>
          <c:y val="3.018867924528300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3855653898856696E-2"/>
          <c:y val="0.25325165148698087"/>
          <c:w val="0.91747887164043063"/>
          <c:h val="0.65603123683613618"/>
        </c:manualLayout>
      </c:layout>
      <c:bar3DChart>
        <c:barDir val="col"/>
        <c:grouping val="stacked"/>
        <c:varyColors val="0"/>
        <c:ser>
          <c:idx val="0"/>
          <c:order val="0"/>
          <c:tx>
            <c:strRef>
              <c:f>Лист1!$B$1</c:f>
              <c:strCache>
                <c:ptCount val="1"/>
                <c:pt idx="0">
                  <c:v>Столбец1</c:v>
                </c:pt>
              </c:strCache>
            </c:strRef>
          </c:tx>
          <c:spPr>
            <a:gradFill flip="none" rotWithShape="1">
              <a:gsLst>
                <a:gs pos="0">
                  <a:schemeClr val="accent4">
                    <a:lumMod val="60000"/>
                    <a:lumOff val="40000"/>
                    <a:shade val="30000"/>
                    <a:satMod val="115000"/>
                  </a:schemeClr>
                </a:gs>
                <a:gs pos="50000">
                  <a:schemeClr val="accent4">
                    <a:lumMod val="60000"/>
                    <a:lumOff val="40000"/>
                    <a:shade val="67500"/>
                    <a:satMod val="115000"/>
                  </a:schemeClr>
                </a:gs>
                <a:gs pos="100000">
                  <a:schemeClr val="accent4">
                    <a:lumMod val="60000"/>
                    <a:lumOff val="40000"/>
                    <a:shade val="100000"/>
                    <a:satMod val="115000"/>
                  </a:schemeClr>
                </a:gs>
              </a:gsLst>
              <a:lin ang="0" scaled="1"/>
              <a:tileRect/>
            </a:gradFill>
            <a:ln>
              <a:solidFill>
                <a:schemeClr val="accent4">
                  <a:lumMod val="20000"/>
                  <a:lumOff val="80000"/>
                </a:schemeClr>
              </a:solidFill>
            </a:ln>
          </c:spPr>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 рік</c:v>
                </c:pt>
              </c:strCache>
            </c:strRef>
          </c:cat>
          <c:val>
            <c:numRef>
              <c:f>Лист1!$B$2:$B$4</c:f>
              <c:numCache>
                <c:formatCode>0.0</c:formatCode>
                <c:ptCount val="3"/>
                <c:pt idx="0">
                  <c:v>21.1</c:v>
                </c:pt>
                <c:pt idx="1">
                  <c:v>33.700000000000003</c:v>
                </c:pt>
                <c:pt idx="2">
                  <c:v>42.6</c:v>
                </c:pt>
              </c:numCache>
            </c:numRef>
          </c:val>
        </c:ser>
        <c:dLbls>
          <c:showLegendKey val="0"/>
          <c:showVal val="0"/>
          <c:showCatName val="0"/>
          <c:showSerName val="0"/>
          <c:showPercent val="0"/>
          <c:showBubbleSize val="0"/>
        </c:dLbls>
        <c:gapWidth val="150"/>
        <c:shape val="box"/>
        <c:axId val="484095792"/>
        <c:axId val="484089520"/>
        <c:axId val="0"/>
      </c:bar3DChart>
      <c:catAx>
        <c:axId val="484095792"/>
        <c:scaling>
          <c:orientation val="minMax"/>
        </c:scaling>
        <c:delete val="0"/>
        <c:axPos val="b"/>
        <c:numFmt formatCode="General" sourceLinked="0"/>
        <c:majorTickMark val="out"/>
        <c:minorTickMark val="none"/>
        <c:tickLblPos val="nextTo"/>
        <c:txPr>
          <a:bodyPr/>
          <a:lstStyle/>
          <a:p>
            <a:pPr>
              <a:defRPr sz="1050" b="1"/>
            </a:pPr>
            <a:endParaRPr lang="ru-RU"/>
          </a:p>
        </c:txPr>
        <c:crossAx val="484089520"/>
        <c:crosses val="autoZero"/>
        <c:auto val="1"/>
        <c:lblAlgn val="ctr"/>
        <c:lblOffset val="100"/>
        <c:noMultiLvlLbl val="0"/>
      </c:catAx>
      <c:valAx>
        <c:axId val="484089520"/>
        <c:scaling>
          <c:orientation val="minMax"/>
        </c:scaling>
        <c:delete val="0"/>
        <c:axPos val="l"/>
        <c:majorGridlines/>
        <c:numFmt formatCode="0.0" sourceLinked="1"/>
        <c:majorTickMark val="out"/>
        <c:minorTickMark val="none"/>
        <c:tickLblPos val="nextTo"/>
        <c:txPr>
          <a:bodyPr/>
          <a:lstStyle/>
          <a:p>
            <a:pPr>
              <a:defRPr b="1"/>
            </a:pPr>
            <a:endParaRPr lang="ru-RU"/>
          </a:p>
        </c:txPr>
        <c:crossAx val="484095792"/>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0.34369</cdr:x>
      <cdr:y>0.44538</cdr:y>
    </cdr:from>
    <cdr:to>
      <cdr:x>0.46105</cdr:x>
      <cdr:y>0.54727</cdr:y>
    </cdr:to>
    <cdr:sp macro="" textlink="">
      <cdr:nvSpPr>
        <cdr:cNvPr id="11" name="Прямая со стрелкой 10"/>
        <cdr:cNvSpPr/>
      </cdr:nvSpPr>
      <cdr:spPr>
        <a:xfrm xmlns:a="http://schemas.openxmlformats.org/drawingml/2006/main" flipV="1">
          <a:off x="1952602" y="1374472"/>
          <a:ext cx="666763" cy="314443"/>
        </a:xfrm>
        <a:prstGeom xmlns:a="http://schemas.openxmlformats.org/drawingml/2006/main" prst="straightConnector1">
          <a:avLst/>
        </a:prstGeom>
        <a:ln xmlns:a="http://schemas.openxmlformats.org/drawingml/2006/main" w="25400">
          <a:solidFill>
            <a:schemeClr val="accent4">
              <a:lumMod val="75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0.58009</cdr:x>
      <cdr:y>0.35505</cdr:y>
    </cdr:from>
    <cdr:to>
      <cdr:x>0.70582</cdr:x>
      <cdr:y>0.43529</cdr:y>
    </cdr:to>
    <cdr:sp macro="" textlink="">
      <cdr:nvSpPr>
        <cdr:cNvPr id="7" name="Прямая со стрелкой 6"/>
        <cdr:cNvSpPr/>
      </cdr:nvSpPr>
      <cdr:spPr>
        <a:xfrm xmlns:a="http://schemas.openxmlformats.org/drawingml/2006/main" flipV="1">
          <a:off x="3295688" y="1095726"/>
          <a:ext cx="714315" cy="247629"/>
        </a:xfrm>
        <a:prstGeom xmlns:a="http://schemas.openxmlformats.org/drawingml/2006/main" prst="straightConnector1">
          <a:avLst/>
        </a:prstGeom>
        <a:noFill xmlns:a="http://schemas.openxmlformats.org/drawingml/2006/main"/>
        <a:ln xmlns:a="http://schemas.openxmlformats.org/drawingml/2006/main" w="25400" cap="flat" cmpd="sng" algn="ctr">
          <a:solidFill>
            <a:schemeClr val="accent4">
              <a:lumMod val="75000"/>
            </a:schemeClr>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0.2875</cdr:x>
      <cdr:y>0.41137</cdr:y>
    </cdr:from>
    <cdr:to>
      <cdr:x>0.45416</cdr:x>
      <cdr:y>0.48397</cdr:y>
    </cdr:to>
    <cdr:sp macro="" textlink="">
      <cdr:nvSpPr>
        <cdr:cNvPr id="17" name="TextBox 1"/>
        <cdr:cNvSpPr txBox="1"/>
      </cdr:nvSpPr>
      <cdr:spPr>
        <a:xfrm xmlns:a="http://schemas.openxmlformats.org/drawingml/2006/main" rot="20243300">
          <a:off x="1633366" y="1269540"/>
          <a:ext cx="946853" cy="2240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00" b="1"/>
            <a:t>+  12,6 млн.грн.</a:t>
          </a:r>
        </a:p>
      </cdr:txBody>
    </cdr:sp>
  </cdr:relSizeAnchor>
  <cdr:relSizeAnchor xmlns:cdr="http://schemas.openxmlformats.org/drawingml/2006/chartDrawing">
    <cdr:from>
      <cdr:x>0.53046</cdr:x>
      <cdr:y>0.3121</cdr:y>
    </cdr:from>
    <cdr:to>
      <cdr:x>0.68732</cdr:x>
      <cdr:y>0.36556</cdr:y>
    </cdr:to>
    <cdr:sp macro="" textlink="">
      <cdr:nvSpPr>
        <cdr:cNvPr id="12" name="TextBox 1"/>
        <cdr:cNvSpPr txBox="1"/>
      </cdr:nvSpPr>
      <cdr:spPr>
        <a:xfrm xmlns:a="http://schemas.openxmlformats.org/drawingml/2006/main" rot="20243300">
          <a:off x="3013722" y="963178"/>
          <a:ext cx="891176" cy="1649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00" b="1"/>
            <a:t>+  8,9</a:t>
          </a:r>
          <a:r>
            <a:rPr lang="ru-RU" sz="900" b="1" baseline="0"/>
            <a:t> </a:t>
          </a:r>
          <a:r>
            <a:rPr lang="ru-RU" sz="900" b="1"/>
            <a:t>млн.грн.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A159-D861-42D6-9702-559E5E69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3</Pages>
  <Words>932</Words>
  <Characters>5313</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203FU1</cp:lastModifiedBy>
  <cp:revision>1213</cp:revision>
  <cp:lastPrinted>2025-01-15T12:17:00Z</cp:lastPrinted>
  <dcterms:created xsi:type="dcterms:W3CDTF">2020-01-14T12:49:00Z</dcterms:created>
  <dcterms:modified xsi:type="dcterms:W3CDTF">2025-01-17T13:36:00Z</dcterms:modified>
</cp:coreProperties>
</file>