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34B4" w14:textId="77777777" w:rsidR="00156623" w:rsidRDefault="00156623" w:rsidP="008772B5">
      <w:pPr>
        <w:pStyle w:val="a3"/>
        <w:tabs>
          <w:tab w:val="left" w:pos="6761"/>
        </w:tabs>
        <w:ind w:firstLine="0"/>
        <w:rPr>
          <w:sz w:val="24"/>
          <w:szCs w:val="24"/>
        </w:rPr>
      </w:pPr>
    </w:p>
    <w:p w14:paraId="492734B5" w14:textId="77777777" w:rsidR="00156623" w:rsidRDefault="00156623" w:rsidP="008772B5">
      <w:pPr>
        <w:pStyle w:val="a3"/>
        <w:tabs>
          <w:tab w:val="left" w:pos="6761"/>
        </w:tabs>
        <w:ind w:firstLine="0"/>
        <w:rPr>
          <w:sz w:val="24"/>
          <w:szCs w:val="24"/>
        </w:rPr>
      </w:pPr>
      <w:r w:rsidRPr="00027DCF">
        <w:rPr>
          <w:sz w:val="24"/>
          <w:szCs w:val="24"/>
        </w:rPr>
        <w:t>ЗВІТ</w:t>
      </w:r>
    </w:p>
    <w:p w14:paraId="492734B6" w14:textId="77777777" w:rsidR="00156623" w:rsidRPr="00027DCF" w:rsidRDefault="00156623" w:rsidP="008772B5">
      <w:pPr>
        <w:pStyle w:val="a3"/>
        <w:tabs>
          <w:tab w:val="left" w:pos="6761"/>
        </w:tabs>
        <w:ind w:firstLine="0"/>
        <w:rPr>
          <w:sz w:val="24"/>
          <w:szCs w:val="24"/>
        </w:rPr>
      </w:pPr>
    </w:p>
    <w:p w14:paraId="492734B7" w14:textId="77777777" w:rsidR="00156623" w:rsidRPr="00027DCF" w:rsidRDefault="00156623" w:rsidP="008772B5">
      <w:pPr>
        <w:pStyle w:val="a3"/>
        <w:tabs>
          <w:tab w:val="left" w:pos="6761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про періодичне </w:t>
      </w:r>
      <w:r w:rsidRPr="00027DCF">
        <w:rPr>
          <w:sz w:val="24"/>
          <w:szCs w:val="24"/>
        </w:rPr>
        <w:t>відстеження результативності регуляторного акта –</w:t>
      </w:r>
    </w:p>
    <w:p w14:paraId="492734B8" w14:textId="77777777" w:rsidR="00156623" w:rsidRPr="003D04FC" w:rsidRDefault="00156623" w:rsidP="003D04FC">
      <w:pPr>
        <w:pStyle w:val="a3"/>
        <w:rPr>
          <w:b w:val="0"/>
          <w:bCs w:val="0"/>
          <w:sz w:val="24"/>
          <w:szCs w:val="24"/>
        </w:rPr>
      </w:pPr>
      <w:r w:rsidRPr="003D04FC">
        <w:rPr>
          <w:b w:val="0"/>
          <w:bCs w:val="0"/>
          <w:sz w:val="24"/>
          <w:szCs w:val="24"/>
        </w:rPr>
        <w:t>рішення Чорноморської міської ради</w:t>
      </w:r>
      <w:r>
        <w:rPr>
          <w:b w:val="0"/>
          <w:bCs w:val="0"/>
          <w:sz w:val="24"/>
          <w:szCs w:val="24"/>
        </w:rPr>
        <w:t xml:space="preserve"> Одеської області</w:t>
      </w:r>
    </w:p>
    <w:p w14:paraId="492734B9" w14:textId="77777777" w:rsidR="00156623" w:rsidRPr="003D04FC" w:rsidRDefault="00156623" w:rsidP="003D04FC">
      <w:pPr>
        <w:pStyle w:val="a3"/>
        <w:rPr>
          <w:b w:val="0"/>
          <w:bCs w:val="0"/>
          <w:sz w:val="24"/>
          <w:szCs w:val="24"/>
        </w:rPr>
      </w:pPr>
      <w:r w:rsidRPr="003D04FC">
        <w:rPr>
          <w:b w:val="0"/>
          <w:bCs w:val="0"/>
          <w:sz w:val="24"/>
          <w:szCs w:val="24"/>
        </w:rPr>
        <w:t>«Про встановлення ставок та пільг із сплати земельного податку на території Чорноморсько</w:t>
      </w:r>
      <w:r>
        <w:rPr>
          <w:b w:val="0"/>
          <w:bCs w:val="0"/>
          <w:sz w:val="24"/>
          <w:szCs w:val="24"/>
        </w:rPr>
        <w:t>ї міської ради Одеського району Одеської області</w:t>
      </w:r>
      <w:r w:rsidRPr="003D04FC">
        <w:rPr>
          <w:b w:val="0"/>
          <w:bCs w:val="0"/>
          <w:sz w:val="24"/>
          <w:szCs w:val="24"/>
        </w:rPr>
        <w:t>"</w:t>
      </w:r>
    </w:p>
    <w:p w14:paraId="492734BA" w14:textId="77777777" w:rsidR="00156623" w:rsidRPr="00027DCF" w:rsidRDefault="00156623" w:rsidP="008772B5">
      <w:pPr>
        <w:pStyle w:val="a3"/>
        <w:tabs>
          <w:tab w:val="left" w:pos="6761"/>
        </w:tabs>
        <w:ind w:firstLine="0"/>
        <w:rPr>
          <w:b w:val="0"/>
          <w:bCs w:val="0"/>
          <w:sz w:val="24"/>
          <w:szCs w:val="24"/>
        </w:rPr>
      </w:pPr>
    </w:p>
    <w:tbl>
      <w:tblPr>
        <w:tblW w:w="99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003"/>
        <w:gridCol w:w="5429"/>
      </w:tblGrid>
      <w:tr w:rsidR="00156623" w:rsidRPr="00BD04D3" w14:paraId="492734BE" w14:textId="77777777" w:rsidTr="00D62947">
        <w:tc>
          <w:tcPr>
            <w:tcW w:w="516" w:type="dxa"/>
          </w:tcPr>
          <w:p w14:paraId="492734BB" w14:textId="77777777" w:rsidR="00156623" w:rsidRPr="000D1865" w:rsidRDefault="00156623" w:rsidP="000D1865">
            <w:pPr>
              <w:pStyle w:val="a3"/>
              <w:tabs>
                <w:tab w:val="left" w:pos="6761"/>
              </w:tabs>
              <w:ind w:firstLine="0"/>
              <w:rPr>
                <w:b w:val="0"/>
                <w:bCs w:val="0"/>
                <w:sz w:val="24"/>
                <w:szCs w:val="24"/>
              </w:rPr>
            </w:pPr>
            <w:r w:rsidRPr="000D1865">
              <w:rPr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4003" w:type="dxa"/>
          </w:tcPr>
          <w:p w14:paraId="492734BC" w14:textId="77777777" w:rsidR="00156623" w:rsidRPr="000D1865" w:rsidRDefault="00156623" w:rsidP="000D1865">
            <w:pPr>
              <w:pStyle w:val="a3"/>
              <w:tabs>
                <w:tab w:val="left" w:pos="6761"/>
              </w:tabs>
              <w:ind w:firstLine="0"/>
              <w:jc w:val="left"/>
              <w:rPr>
                <w:sz w:val="24"/>
                <w:szCs w:val="24"/>
              </w:rPr>
            </w:pPr>
            <w:r w:rsidRPr="000D1865">
              <w:rPr>
                <w:sz w:val="24"/>
                <w:szCs w:val="24"/>
              </w:rPr>
              <w:t>Вид та назва регуляторного акта</w:t>
            </w:r>
            <w:r>
              <w:rPr>
                <w:sz w:val="24"/>
                <w:szCs w:val="24"/>
              </w:rPr>
              <w:t xml:space="preserve"> </w:t>
            </w:r>
            <w:r w:rsidRPr="007C5B96">
              <w:rPr>
                <w:sz w:val="24"/>
                <w:szCs w:val="24"/>
              </w:rPr>
              <w:t>дата прийняття та номер</w:t>
            </w:r>
          </w:p>
        </w:tc>
        <w:tc>
          <w:tcPr>
            <w:tcW w:w="5429" w:type="dxa"/>
          </w:tcPr>
          <w:p w14:paraId="492734BD" w14:textId="31A05D77" w:rsidR="00156623" w:rsidRPr="000D1865" w:rsidRDefault="00156623" w:rsidP="000D1865">
            <w:pPr>
              <w:jc w:val="both"/>
              <w:rPr>
                <w:lang w:val="uk-UA"/>
              </w:rPr>
            </w:pPr>
            <w:r w:rsidRPr="000D1865">
              <w:rPr>
                <w:lang w:val="uk-UA"/>
              </w:rPr>
              <w:t>Рішення Чорноморської міської ради</w:t>
            </w:r>
            <w:r>
              <w:rPr>
                <w:lang w:val="uk-UA"/>
              </w:rPr>
              <w:t xml:space="preserve"> Одеського району</w:t>
            </w:r>
            <w:r w:rsidRPr="000D1865">
              <w:rPr>
                <w:lang w:val="uk-UA"/>
              </w:rPr>
              <w:t xml:space="preserve"> Одеської області «Про встановлення ставок та пільг із сплати </w:t>
            </w:r>
            <w:r>
              <w:rPr>
                <w:lang w:val="uk-UA"/>
              </w:rPr>
              <w:t>земельного податку</w:t>
            </w:r>
            <w:r w:rsidRPr="000D1865">
              <w:rPr>
                <w:lang w:val="uk-UA"/>
              </w:rPr>
              <w:t xml:space="preserve"> на території Чорноморської міської ради </w:t>
            </w:r>
            <w:r>
              <w:rPr>
                <w:lang w:val="uk-UA"/>
              </w:rPr>
              <w:t xml:space="preserve">Одеського району Одеської області" </w:t>
            </w:r>
            <w:r w:rsidRPr="000D1865">
              <w:rPr>
                <w:lang w:val="uk-UA"/>
              </w:rPr>
              <w:t xml:space="preserve">від </w:t>
            </w:r>
            <w:r>
              <w:rPr>
                <w:lang w:val="uk-UA"/>
              </w:rPr>
              <w:t>26.06.2019</w:t>
            </w:r>
            <w:r w:rsidR="00207732">
              <w:rPr>
                <w:lang w:val="uk-UA"/>
              </w:rPr>
              <w:t xml:space="preserve"> </w:t>
            </w:r>
            <w:r w:rsidRPr="000D1865">
              <w:rPr>
                <w:lang w:val="uk-UA"/>
              </w:rPr>
              <w:t xml:space="preserve">№ </w:t>
            </w:r>
            <w:r>
              <w:rPr>
                <w:lang w:val="uk-UA"/>
              </w:rPr>
              <w:t>444</w:t>
            </w:r>
            <w:r w:rsidRPr="000D1865">
              <w:rPr>
                <w:lang w:val="uk-UA"/>
              </w:rPr>
              <w:t>-VII</w:t>
            </w:r>
            <w:r w:rsidR="00BD04D3" w:rsidRPr="00BD04D3">
              <w:rPr>
                <w:lang w:val="uk-UA"/>
              </w:rPr>
              <w:t xml:space="preserve"> </w:t>
            </w:r>
            <w:r>
              <w:rPr>
                <w:lang w:val="uk-UA"/>
              </w:rPr>
              <w:t>(зі змінами)</w:t>
            </w:r>
          </w:p>
        </w:tc>
      </w:tr>
      <w:tr w:rsidR="00156623" w:rsidRPr="00027DCF" w14:paraId="492734C3" w14:textId="77777777" w:rsidTr="00D62947">
        <w:tc>
          <w:tcPr>
            <w:tcW w:w="516" w:type="dxa"/>
          </w:tcPr>
          <w:p w14:paraId="492734BF" w14:textId="77777777" w:rsidR="00156623" w:rsidRPr="000D1865" w:rsidRDefault="00156623" w:rsidP="000D1865">
            <w:pPr>
              <w:pStyle w:val="a3"/>
              <w:tabs>
                <w:tab w:val="left" w:pos="6761"/>
              </w:tabs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  <w:r w:rsidRPr="000D1865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14:paraId="492734C0" w14:textId="77777777" w:rsidR="00156623" w:rsidRPr="000D1865" w:rsidRDefault="00156623" w:rsidP="000D1865">
            <w:pPr>
              <w:tabs>
                <w:tab w:val="left" w:pos="6761"/>
              </w:tabs>
              <w:jc w:val="both"/>
              <w:rPr>
                <w:b/>
                <w:bCs/>
                <w:lang w:val="uk-UA"/>
              </w:rPr>
            </w:pPr>
            <w:r w:rsidRPr="000D1865">
              <w:rPr>
                <w:b/>
                <w:bCs/>
                <w:lang w:val="uk-UA"/>
              </w:rPr>
              <w:t>Назва виконавця заходів з базового відстеження результативності</w:t>
            </w:r>
          </w:p>
          <w:p w14:paraId="492734C1" w14:textId="77777777" w:rsidR="00156623" w:rsidRPr="000D1865" w:rsidRDefault="00156623" w:rsidP="000D1865">
            <w:pPr>
              <w:tabs>
                <w:tab w:val="left" w:pos="6761"/>
              </w:tabs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5429" w:type="dxa"/>
          </w:tcPr>
          <w:p w14:paraId="492734C2" w14:textId="77777777" w:rsidR="00156623" w:rsidRPr="000D1865" w:rsidRDefault="00156623" w:rsidP="000D1865">
            <w:pPr>
              <w:pStyle w:val="a3"/>
              <w:tabs>
                <w:tab w:val="left" w:pos="6761"/>
              </w:tabs>
              <w:ind w:firstLine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Управління комунальної власності та земельних відносин</w:t>
            </w:r>
            <w:r w:rsidRPr="000D1865">
              <w:rPr>
                <w:b w:val="0"/>
                <w:bCs w:val="0"/>
                <w:sz w:val="24"/>
                <w:szCs w:val="24"/>
              </w:rPr>
              <w:t xml:space="preserve"> Чорноморської міської ради </w:t>
            </w:r>
            <w:r>
              <w:rPr>
                <w:b w:val="0"/>
                <w:bCs w:val="0"/>
                <w:sz w:val="24"/>
                <w:szCs w:val="24"/>
              </w:rPr>
              <w:t xml:space="preserve">Одеського району </w:t>
            </w:r>
            <w:r w:rsidRPr="000D1865">
              <w:rPr>
                <w:b w:val="0"/>
                <w:bCs w:val="0"/>
                <w:sz w:val="24"/>
                <w:szCs w:val="24"/>
              </w:rPr>
              <w:t>Одеської області.</w:t>
            </w:r>
          </w:p>
        </w:tc>
      </w:tr>
      <w:tr w:rsidR="00156623" w:rsidRPr="006761AF" w14:paraId="492734CD" w14:textId="77777777" w:rsidTr="00D62947">
        <w:tc>
          <w:tcPr>
            <w:tcW w:w="516" w:type="dxa"/>
          </w:tcPr>
          <w:p w14:paraId="492734C4" w14:textId="77777777" w:rsidR="00156623" w:rsidRPr="000D1865" w:rsidRDefault="00156623" w:rsidP="000D1865">
            <w:pPr>
              <w:pStyle w:val="a3"/>
              <w:tabs>
                <w:tab w:val="left" w:pos="6761"/>
              </w:tabs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  <w:r w:rsidRPr="000D1865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14:paraId="492734C5" w14:textId="77777777" w:rsidR="00156623" w:rsidRPr="000D1865" w:rsidRDefault="00156623" w:rsidP="000D1865">
            <w:pPr>
              <w:tabs>
                <w:tab w:val="left" w:pos="6761"/>
              </w:tabs>
              <w:jc w:val="both"/>
              <w:rPr>
                <w:b/>
                <w:bCs/>
                <w:lang w:val="uk-UA"/>
              </w:rPr>
            </w:pPr>
            <w:r w:rsidRPr="000D1865">
              <w:rPr>
                <w:b/>
                <w:bCs/>
                <w:lang w:val="uk-UA"/>
              </w:rPr>
              <w:t>Цілі прийняття акта</w:t>
            </w:r>
          </w:p>
        </w:tc>
        <w:tc>
          <w:tcPr>
            <w:tcW w:w="5429" w:type="dxa"/>
          </w:tcPr>
          <w:p w14:paraId="492734C6" w14:textId="77777777" w:rsidR="00156623" w:rsidRPr="000D1865" w:rsidRDefault="00156623" w:rsidP="000D1865">
            <w:pPr>
              <w:jc w:val="both"/>
              <w:rPr>
                <w:color w:val="000000"/>
                <w:lang w:val="uk-UA"/>
              </w:rPr>
            </w:pPr>
            <w:r w:rsidRPr="000D1865">
              <w:rPr>
                <w:color w:val="000000"/>
                <w:lang w:val="uk-UA"/>
              </w:rPr>
              <w:t>Прийнятий регуляторний акт спрямований</w:t>
            </w:r>
            <w:r w:rsidRPr="000D1865">
              <w:rPr>
                <w:b/>
                <w:bCs/>
                <w:color w:val="000000"/>
                <w:lang w:val="uk-UA"/>
              </w:rPr>
              <w:t xml:space="preserve"> </w:t>
            </w:r>
            <w:r w:rsidRPr="000D1865">
              <w:rPr>
                <w:color w:val="000000"/>
                <w:lang w:val="uk-UA"/>
              </w:rPr>
              <w:t>на:</w:t>
            </w:r>
          </w:p>
          <w:p w14:paraId="492734C7" w14:textId="77777777" w:rsidR="00156623" w:rsidRPr="000D1865" w:rsidRDefault="00156623" w:rsidP="000D1865">
            <w:pPr>
              <w:jc w:val="both"/>
              <w:rPr>
                <w:lang w:val="uk-UA"/>
              </w:rPr>
            </w:pPr>
            <w:r w:rsidRPr="000D1865">
              <w:rPr>
                <w:color w:val="000000"/>
                <w:lang w:val="uk-UA"/>
              </w:rPr>
              <w:t xml:space="preserve">- реалізацію вимог Податкового кодексу України, приведення нормативних актів міської ради у відповідність з ПКУ(зокрема до вимог </w:t>
            </w:r>
            <w:r w:rsidRPr="000D1865">
              <w:rPr>
                <w:lang w:val="uk-UA"/>
              </w:rPr>
              <w:t>постанови КМУ від 24.05.2017р. № 483 «Про затвердження форм типових рішень про встановлення ставок та пільг зі сплати земельного податку та податку на нерухоме майно»;</w:t>
            </w:r>
          </w:p>
          <w:p w14:paraId="492734C8" w14:textId="77777777" w:rsidR="00156623" w:rsidRPr="000D1865" w:rsidRDefault="00156623" w:rsidP="000D1865">
            <w:pPr>
              <w:jc w:val="both"/>
              <w:rPr>
                <w:color w:val="000000"/>
                <w:lang w:val="uk-UA"/>
              </w:rPr>
            </w:pPr>
            <w:r w:rsidRPr="000D1865">
              <w:rPr>
                <w:color w:val="000000"/>
                <w:lang w:val="uk-UA"/>
              </w:rPr>
              <w:t xml:space="preserve">- встановлення </w:t>
            </w:r>
            <w:r w:rsidRPr="000D1865">
              <w:rPr>
                <w:lang w:val="uk-UA"/>
              </w:rPr>
              <w:t xml:space="preserve">ставок </w:t>
            </w:r>
            <w:r>
              <w:rPr>
                <w:lang w:val="uk-UA"/>
              </w:rPr>
              <w:t xml:space="preserve">земельного </w:t>
            </w:r>
            <w:r w:rsidRPr="000D1865">
              <w:rPr>
                <w:lang w:val="uk-UA"/>
              </w:rPr>
              <w:t xml:space="preserve">податку, </w:t>
            </w:r>
            <w:r w:rsidRPr="000D1865">
              <w:rPr>
                <w:color w:val="000000"/>
                <w:lang w:val="uk-UA"/>
              </w:rPr>
              <w:t>з метою наповнення дохідної частини міського бюджету для забезпечення реалізації програм соціально-економічного розвитку міста.</w:t>
            </w:r>
          </w:p>
          <w:p w14:paraId="492734C9" w14:textId="77777777" w:rsidR="00156623" w:rsidRPr="000D1865" w:rsidRDefault="00156623" w:rsidP="000D1865">
            <w:pPr>
              <w:ind w:left="-36"/>
              <w:jc w:val="both"/>
              <w:rPr>
                <w:lang w:val="uk-UA"/>
              </w:rPr>
            </w:pPr>
            <w:r w:rsidRPr="000D1865">
              <w:rPr>
                <w:lang w:val="uk-UA"/>
              </w:rPr>
              <w:t xml:space="preserve">  -  надання пільг зі сплат</w:t>
            </w:r>
            <w:r>
              <w:rPr>
                <w:lang w:val="uk-UA"/>
              </w:rPr>
              <w:t>и земельного</w:t>
            </w:r>
            <w:r w:rsidRPr="000D1865">
              <w:rPr>
                <w:lang w:val="uk-UA"/>
              </w:rPr>
              <w:t xml:space="preserve"> податку:</w:t>
            </w:r>
          </w:p>
          <w:p w14:paraId="492734CA" w14:textId="77777777" w:rsidR="00156623" w:rsidRDefault="00156623" w:rsidP="000D1865">
            <w:pPr>
              <w:ind w:left="-36"/>
              <w:jc w:val="both"/>
              <w:rPr>
                <w:lang w:val="uk-UA"/>
              </w:rPr>
            </w:pPr>
            <w:r w:rsidRPr="000D1865">
              <w:rPr>
                <w:lang w:val="uk-UA"/>
              </w:rPr>
              <w:t>- окремим суб'єктам господарювання, з метою зн</w:t>
            </w:r>
            <w:r>
              <w:rPr>
                <w:lang w:val="uk-UA"/>
              </w:rPr>
              <w:t>иження податкового навантаження;</w:t>
            </w:r>
          </w:p>
          <w:p w14:paraId="2F82535E" w14:textId="77777777" w:rsidR="00156623" w:rsidRDefault="00156623" w:rsidP="00BD04D3">
            <w:pPr>
              <w:ind w:left="-36"/>
              <w:jc w:val="both"/>
              <w:rPr>
                <w:lang w:val="uk-UA"/>
              </w:rPr>
            </w:pPr>
            <w:r>
              <w:rPr>
                <w:lang w:val="uk-UA"/>
              </w:rPr>
              <w:t>- суб’єктам господарювання, які здійснюють свою діяльність за рахунок коштів державного або місцевого бюджету</w:t>
            </w:r>
          </w:p>
          <w:p w14:paraId="492734CC" w14:textId="18988DBD" w:rsidR="00BD04D3" w:rsidRPr="000D1865" w:rsidRDefault="00BD04D3" w:rsidP="00BD04D3">
            <w:pPr>
              <w:ind w:left="-36"/>
              <w:jc w:val="both"/>
              <w:rPr>
                <w:lang w:val="uk-UA"/>
              </w:rPr>
            </w:pPr>
          </w:p>
        </w:tc>
      </w:tr>
      <w:tr w:rsidR="00156623" w:rsidRPr="00027DCF" w14:paraId="492734D1" w14:textId="77777777" w:rsidTr="00D62947">
        <w:tc>
          <w:tcPr>
            <w:tcW w:w="516" w:type="dxa"/>
          </w:tcPr>
          <w:p w14:paraId="492734CE" w14:textId="77777777" w:rsidR="00156623" w:rsidRPr="000D1865" w:rsidRDefault="00156623" w:rsidP="000D1865">
            <w:pPr>
              <w:pStyle w:val="a3"/>
              <w:tabs>
                <w:tab w:val="left" w:pos="6761"/>
              </w:tabs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  <w:r w:rsidRPr="000D1865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14:paraId="492734CF" w14:textId="77777777" w:rsidR="00156623" w:rsidRPr="000D1865" w:rsidRDefault="00156623" w:rsidP="000D1865">
            <w:pPr>
              <w:tabs>
                <w:tab w:val="left" w:pos="6761"/>
              </w:tabs>
              <w:jc w:val="both"/>
              <w:rPr>
                <w:b/>
                <w:bCs/>
                <w:lang w:val="uk-UA"/>
              </w:rPr>
            </w:pPr>
            <w:r w:rsidRPr="000D1865">
              <w:rPr>
                <w:b/>
                <w:bCs/>
                <w:lang w:val="uk-UA"/>
              </w:rPr>
              <w:t>Строк виконання заходів з відстеження регуляторного акта</w:t>
            </w:r>
          </w:p>
        </w:tc>
        <w:tc>
          <w:tcPr>
            <w:tcW w:w="5429" w:type="dxa"/>
            <w:vAlign w:val="center"/>
          </w:tcPr>
          <w:p w14:paraId="492734D0" w14:textId="77777777" w:rsidR="00156623" w:rsidRPr="000D1865" w:rsidRDefault="00156623" w:rsidP="004E6F31">
            <w:pPr>
              <w:tabs>
                <w:tab w:val="left" w:pos="6761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01.12.2024   -   31.12.2024</w:t>
            </w:r>
          </w:p>
        </w:tc>
      </w:tr>
      <w:tr w:rsidR="00156623" w:rsidRPr="00027DCF" w14:paraId="492734D6" w14:textId="77777777" w:rsidTr="00D62947">
        <w:tc>
          <w:tcPr>
            <w:tcW w:w="516" w:type="dxa"/>
          </w:tcPr>
          <w:p w14:paraId="492734D2" w14:textId="77777777" w:rsidR="00156623" w:rsidRPr="000D1865" w:rsidRDefault="00156623" w:rsidP="000D1865">
            <w:pPr>
              <w:pStyle w:val="a3"/>
              <w:tabs>
                <w:tab w:val="left" w:pos="6761"/>
              </w:tabs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  <w:r w:rsidRPr="000D1865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14:paraId="492734D3" w14:textId="77777777" w:rsidR="00156623" w:rsidRPr="000D1865" w:rsidRDefault="00156623" w:rsidP="000D1865">
            <w:pPr>
              <w:tabs>
                <w:tab w:val="left" w:pos="6761"/>
              </w:tabs>
              <w:jc w:val="both"/>
              <w:rPr>
                <w:b/>
                <w:bCs/>
                <w:lang w:val="uk-UA"/>
              </w:rPr>
            </w:pPr>
            <w:r w:rsidRPr="000D1865">
              <w:rPr>
                <w:b/>
                <w:bCs/>
                <w:lang w:val="uk-UA"/>
              </w:rPr>
              <w:t>Тип відстеження регуляторного акта</w:t>
            </w:r>
          </w:p>
        </w:tc>
        <w:tc>
          <w:tcPr>
            <w:tcW w:w="5429" w:type="dxa"/>
          </w:tcPr>
          <w:p w14:paraId="492734D4" w14:textId="77777777" w:rsidR="00156623" w:rsidRPr="000D1865" w:rsidRDefault="00156623" w:rsidP="000D1865">
            <w:pPr>
              <w:tabs>
                <w:tab w:val="left" w:pos="6761"/>
              </w:tabs>
              <w:jc w:val="both"/>
              <w:rPr>
                <w:lang w:val="uk-UA"/>
              </w:rPr>
            </w:pPr>
            <w:r w:rsidRPr="000D1865">
              <w:rPr>
                <w:lang w:val="uk-UA"/>
              </w:rPr>
              <w:t xml:space="preserve">Здійснюється </w:t>
            </w:r>
            <w:r>
              <w:rPr>
                <w:lang w:val="uk-UA"/>
              </w:rPr>
              <w:t>періодичне</w:t>
            </w:r>
            <w:r w:rsidRPr="000D1865">
              <w:rPr>
                <w:lang w:val="uk-UA"/>
              </w:rPr>
              <w:t xml:space="preserve"> відстеження результативності регуляторного акта.</w:t>
            </w:r>
          </w:p>
          <w:p w14:paraId="492734D5" w14:textId="77777777" w:rsidR="00156623" w:rsidRPr="000D1865" w:rsidRDefault="00156623" w:rsidP="000D1865">
            <w:pPr>
              <w:tabs>
                <w:tab w:val="left" w:pos="6761"/>
              </w:tabs>
              <w:jc w:val="both"/>
              <w:rPr>
                <w:lang w:val="uk-UA"/>
              </w:rPr>
            </w:pPr>
          </w:p>
        </w:tc>
      </w:tr>
      <w:tr w:rsidR="00156623" w:rsidRPr="00BD04D3" w14:paraId="492734DA" w14:textId="77777777" w:rsidTr="00D62947">
        <w:tc>
          <w:tcPr>
            <w:tcW w:w="516" w:type="dxa"/>
          </w:tcPr>
          <w:p w14:paraId="492734D7" w14:textId="77777777" w:rsidR="00156623" w:rsidRPr="000D1865" w:rsidRDefault="00156623" w:rsidP="000D1865">
            <w:pPr>
              <w:pStyle w:val="a3"/>
              <w:tabs>
                <w:tab w:val="left" w:pos="6761"/>
              </w:tabs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</w:t>
            </w:r>
            <w:r w:rsidRPr="000D1865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14:paraId="492734D8" w14:textId="77777777" w:rsidR="00156623" w:rsidRPr="000D1865" w:rsidRDefault="00156623" w:rsidP="000D1865">
            <w:pPr>
              <w:tabs>
                <w:tab w:val="left" w:pos="6761"/>
              </w:tabs>
              <w:jc w:val="both"/>
              <w:rPr>
                <w:b/>
                <w:bCs/>
                <w:lang w:val="uk-UA"/>
              </w:rPr>
            </w:pPr>
            <w:r w:rsidRPr="000D1865">
              <w:rPr>
                <w:b/>
                <w:bCs/>
                <w:lang w:val="uk-UA"/>
              </w:rPr>
              <w:t>Методи одержання результатів відстеження</w:t>
            </w:r>
          </w:p>
        </w:tc>
        <w:tc>
          <w:tcPr>
            <w:tcW w:w="5429" w:type="dxa"/>
          </w:tcPr>
          <w:p w14:paraId="492734D9" w14:textId="2D616608" w:rsidR="00156623" w:rsidRPr="000D1865" w:rsidRDefault="00156623" w:rsidP="000D1865">
            <w:pPr>
              <w:pStyle w:val="a3"/>
              <w:tabs>
                <w:tab w:val="left" w:pos="6761"/>
              </w:tabs>
              <w:ind w:firstLine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Періодичне</w:t>
            </w:r>
            <w:r w:rsidRPr="000D1865">
              <w:rPr>
                <w:b w:val="0"/>
                <w:bCs w:val="0"/>
                <w:sz w:val="24"/>
                <w:szCs w:val="24"/>
              </w:rPr>
              <w:t xml:space="preserve"> відстеження результативності вищезазначеного регуляторного акта здійснюється шляхом аналізу на основі показників і даних Чорноморської ОДПІ ГУ ДФС в Одеській області та</w:t>
            </w:r>
            <w:r>
              <w:t xml:space="preserve"> </w:t>
            </w:r>
            <w:r w:rsidRPr="000D1865">
              <w:rPr>
                <w:b w:val="0"/>
                <w:bCs w:val="0"/>
                <w:sz w:val="24"/>
                <w:szCs w:val="24"/>
              </w:rPr>
              <w:t>фінансового</w:t>
            </w:r>
            <w:r>
              <w:t xml:space="preserve"> </w:t>
            </w:r>
            <w:r w:rsidRPr="000D1865">
              <w:rPr>
                <w:b w:val="0"/>
                <w:bCs w:val="0"/>
                <w:sz w:val="24"/>
                <w:szCs w:val="24"/>
              </w:rPr>
              <w:t>управління Чорноморської міської ради.</w:t>
            </w:r>
          </w:p>
        </w:tc>
      </w:tr>
      <w:tr w:rsidR="00156623" w:rsidRPr="00FD09FE" w14:paraId="492734E1" w14:textId="77777777" w:rsidTr="00D62947">
        <w:tc>
          <w:tcPr>
            <w:tcW w:w="516" w:type="dxa"/>
          </w:tcPr>
          <w:p w14:paraId="492734DB" w14:textId="77777777" w:rsidR="00156623" w:rsidRPr="000D1865" w:rsidRDefault="00156623" w:rsidP="000D1865">
            <w:pPr>
              <w:pStyle w:val="a3"/>
              <w:tabs>
                <w:tab w:val="left" w:pos="6761"/>
              </w:tabs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</w:t>
            </w:r>
            <w:r w:rsidRPr="000D1865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14:paraId="492734DC" w14:textId="77777777" w:rsidR="00156623" w:rsidRPr="000D1865" w:rsidRDefault="00156623" w:rsidP="000D1865">
            <w:pPr>
              <w:tabs>
                <w:tab w:val="left" w:pos="6761"/>
              </w:tabs>
              <w:jc w:val="both"/>
              <w:rPr>
                <w:b/>
                <w:bCs/>
                <w:lang w:val="uk-UA"/>
              </w:rPr>
            </w:pPr>
            <w:r w:rsidRPr="000D1865">
              <w:rPr>
                <w:b/>
                <w:bCs/>
                <w:lang w:val="uk-UA"/>
              </w:rPr>
              <w:t>Дані та припущення, на основі яких відстежувалась результативність, а також способи одержання даних</w:t>
            </w:r>
          </w:p>
        </w:tc>
        <w:tc>
          <w:tcPr>
            <w:tcW w:w="5429" w:type="dxa"/>
          </w:tcPr>
          <w:p w14:paraId="492734DD" w14:textId="77777777" w:rsidR="00156623" w:rsidRPr="000D1865" w:rsidRDefault="00156623" w:rsidP="000D1865">
            <w:pPr>
              <w:pStyle w:val="a3"/>
              <w:tabs>
                <w:tab w:val="left" w:pos="6761"/>
              </w:tabs>
              <w:ind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0D1865">
              <w:rPr>
                <w:b w:val="0"/>
                <w:bCs w:val="0"/>
                <w:sz w:val="24"/>
                <w:szCs w:val="24"/>
              </w:rPr>
              <w:t>Для відстеження результативності дії регуляторного акту обрано такі показники:</w:t>
            </w:r>
          </w:p>
          <w:p w14:paraId="492734DE" w14:textId="77777777" w:rsidR="00156623" w:rsidRPr="000D1865" w:rsidRDefault="00156623" w:rsidP="000D1865">
            <w:pPr>
              <w:pStyle w:val="a3"/>
              <w:tabs>
                <w:tab w:val="left" w:pos="6761"/>
              </w:tabs>
              <w:ind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0D1865">
              <w:rPr>
                <w:b w:val="0"/>
                <w:bCs w:val="0"/>
                <w:sz w:val="24"/>
                <w:szCs w:val="24"/>
              </w:rPr>
              <w:t xml:space="preserve">- розмір надходжень до міського бюджету від сплати </w:t>
            </w:r>
            <w:r>
              <w:rPr>
                <w:b w:val="0"/>
                <w:bCs w:val="0"/>
                <w:sz w:val="24"/>
                <w:szCs w:val="24"/>
              </w:rPr>
              <w:t xml:space="preserve">земельного </w:t>
            </w:r>
            <w:r w:rsidRPr="000D1865">
              <w:rPr>
                <w:b w:val="0"/>
                <w:bCs w:val="0"/>
                <w:sz w:val="24"/>
                <w:szCs w:val="24"/>
              </w:rPr>
              <w:t>податку;</w:t>
            </w:r>
          </w:p>
          <w:p w14:paraId="492734DF" w14:textId="77777777" w:rsidR="00156623" w:rsidRPr="000D1865" w:rsidRDefault="00156623" w:rsidP="000D1865">
            <w:pPr>
              <w:pStyle w:val="a3"/>
              <w:tabs>
                <w:tab w:val="left" w:pos="6761"/>
              </w:tabs>
              <w:ind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0D1865">
              <w:rPr>
                <w:b w:val="0"/>
                <w:bCs w:val="0"/>
                <w:sz w:val="24"/>
                <w:szCs w:val="24"/>
              </w:rPr>
              <w:t>- кількість платників даного виду податку на  яких поширюється дія акту.</w:t>
            </w:r>
          </w:p>
          <w:p w14:paraId="492734E0" w14:textId="77777777" w:rsidR="00156623" w:rsidRPr="000D1865" w:rsidRDefault="00156623" w:rsidP="000D1865">
            <w:pPr>
              <w:pStyle w:val="a3"/>
              <w:tabs>
                <w:tab w:val="left" w:pos="6761"/>
              </w:tabs>
              <w:ind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0D1865">
              <w:rPr>
                <w:b w:val="0"/>
                <w:bCs w:val="0"/>
                <w:sz w:val="24"/>
                <w:szCs w:val="24"/>
              </w:rPr>
              <w:lastRenderedPageBreak/>
              <w:t xml:space="preserve">    З дати прийняття даного регуляторного акту зауваження та пропозиції від фізичних осіб та юридичних осіб на адресу розробника регуляторного акту не надходили.</w:t>
            </w:r>
          </w:p>
        </w:tc>
      </w:tr>
      <w:tr w:rsidR="00156623" w:rsidRPr="00D168EE" w14:paraId="492734EF" w14:textId="77777777" w:rsidTr="00D62947">
        <w:tc>
          <w:tcPr>
            <w:tcW w:w="516" w:type="dxa"/>
          </w:tcPr>
          <w:p w14:paraId="492734E2" w14:textId="77777777" w:rsidR="00156623" w:rsidRPr="000D1865" w:rsidRDefault="00156623" w:rsidP="000D1865">
            <w:pPr>
              <w:pStyle w:val="a3"/>
              <w:tabs>
                <w:tab w:val="left" w:pos="6761"/>
              </w:tabs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8</w:t>
            </w:r>
            <w:r w:rsidRPr="000D1865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14:paraId="492734E3" w14:textId="77777777" w:rsidR="00156623" w:rsidRPr="000D1865" w:rsidRDefault="00156623" w:rsidP="000D1865">
            <w:pPr>
              <w:tabs>
                <w:tab w:val="left" w:pos="6761"/>
              </w:tabs>
              <w:jc w:val="both"/>
              <w:rPr>
                <w:b/>
                <w:bCs/>
                <w:lang w:val="uk-UA"/>
              </w:rPr>
            </w:pPr>
            <w:r w:rsidRPr="000D1865">
              <w:rPr>
                <w:b/>
                <w:bCs/>
                <w:lang w:val="uk-UA"/>
              </w:rPr>
              <w:t>Кількісні та якісні значення показників результативності акта</w:t>
            </w:r>
          </w:p>
        </w:tc>
        <w:tc>
          <w:tcPr>
            <w:tcW w:w="5429" w:type="dxa"/>
          </w:tcPr>
          <w:p w14:paraId="492734E4" w14:textId="77777777" w:rsidR="00156623" w:rsidRDefault="00156623" w:rsidP="000D1865">
            <w:pPr>
              <w:ind w:left="-36"/>
              <w:rPr>
                <w:lang w:val="uk-UA"/>
              </w:rPr>
            </w:pPr>
            <w:r w:rsidRPr="000D1865">
              <w:rPr>
                <w:lang w:val="uk-UA"/>
              </w:rPr>
              <w:t xml:space="preserve">Надходження до міського бюджету </w:t>
            </w:r>
            <w:r>
              <w:rPr>
                <w:lang w:val="uk-UA"/>
              </w:rPr>
              <w:t xml:space="preserve">земельного податку за: </w:t>
            </w:r>
          </w:p>
          <w:p w14:paraId="492734E5" w14:textId="77777777" w:rsidR="00156623" w:rsidRDefault="00156623" w:rsidP="000D1865">
            <w:pPr>
              <w:ind w:left="-36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proofErr w:type="spellStart"/>
            <w:r>
              <w:rPr>
                <w:lang w:val="uk-UA"/>
              </w:rPr>
              <w:t>млн.грн</w:t>
            </w:r>
            <w:proofErr w:type="spellEnd"/>
            <w:r>
              <w:rPr>
                <w:lang w:val="uk-UA"/>
              </w:rPr>
              <w:t xml:space="preserve">.                          </w:t>
            </w:r>
            <w:proofErr w:type="spellStart"/>
            <w:r>
              <w:rPr>
                <w:lang w:val="uk-UA"/>
              </w:rPr>
              <w:t>Юр.особи</w:t>
            </w:r>
            <w:proofErr w:type="spellEnd"/>
            <w:r>
              <w:rPr>
                <w:lang w:val="uk-UA"/>
              </w:rPr>
              <w:t xml:space="preserve">       </w:t>
            </w:r>
            <w:proofErr w:type="spellStart"/>
            <w:r>
              <w:rPr>
                <w:lang w:val="uk-UA"/>
              </w:rPr>
              <w:t>Фіз.особи</w:t>
            </w:r>
            <w:proofErr w:type="spellEnd"/>
          </w:p>
          <w:p w14:paraId="492734E6" w14:textId="77777777" w:rsidR="00156623" w:rsidRDefault="00156623" w:rsidP="000D1865">
            <w:pPr>
              <w:ind w:left="-36"/>
              <w:rPr>
                <w:lang w:val="uk-UA"/>
              </w:rPr>
            </w:pPr>
            <w:r>
              <w:rPr>
                <w:lang w:val="uk-UA"/>
              </w:rPr>
              <w:t>2022 рік                                   45,7                  0,9</w:t>
            </w:r>
          </w:p>
          <w:p w14:paraId="492734E7" w14:textId="77777777" w:rsidR="00156623" w:rsidRPr="000D1865" w:rsidRDefault="00156623" w:rsidP="000D1865">
            <w:pPr>
              <w:ind w:left="-36"/>
              <w:rPr>
                <w:lang w:val="uk-UA"/>
              </w:rPr>
            </w:pPr>
            <w:r>
              <w:rPr>
                <w:lang w:val="uk-UA"/>
              </w:rPr>
              <w:t>2023 рік                                   50,6                  1,5</w:t>
            </w:r>
          </w:p>
          <w:p w14:paraId="492734E8" w14:textId="77777777" w:rsidR="00156623" w:rsidRDefault="00156623" w:rsidP="000D1865">
            <w:pPr>
              <w:ind w:left="-36"/>
              <w:jc w:val="both"/>
              <w:rPr>
                <w:lang w:val="uk-UA"/>
              </w:rPr>
            </w:pPr>
            <w:r>
              <w:rPr>
                <w:lang w:val="uk-UA"/>
              </w:rPr>
              <w:t>2024 рік                                   55,4                  1,6</w:t>
            </w:r>
          </w:p>
          <w:p w14:paraId="492734E9" w14:textId="77777777" w:rsidR="00156623" w:rsidRPr="000D1865" w:rsidRDefault="00156623" w:rsidP="0021446C">
            <w:pPr>
              <w:ind w:left="-36"/>
              <w:jc w:val="both"/>
              <w:rPr>
                <w:lang w:val="uk-UA"/>
              </w:rPr>
            </w:pPr>
            <w:r w:rsidRPr="000D1865">
              <w:rPr>
                <w:lang w:val="uk-UA"/>
              </w:rPr>
              <w:t>Кількість платників податку</w:t>
            </w:r>
            <w:r>
              <w:rPr>
                <w:lang w:val="uk-UA"/>
              </w:rPr>
              <w:t xml:space="preserve"> 2020 рік</w:t>
            </w:r>
            <w:r w:rsidRPr="000D1865">
              <w:rPr>
                <w:lang w:val="uk-UA"/>
              </w:rPr>
              <w:t>:</w:t>
            </w:r>
          </w:p>
          <w:p w14:paraId="492734EA" w14:textId="77777777" w:rsidR="00156623" w:rsidRPr="000D1865" w:rsidRDefault="00156623" w:rsidP="0021446C">
            <w:pPr>
              <w:ind w:left="-36"/>
              <w:rPr>
                <w:lang w:val="uk-UA"/>
              </w:rPr>
            </w:pPr>
            <w:r>
              <w:rPr>
                <w:lang w:val="uk-UA"/>
              </w:rPr>
              <w:t xml:space="preserve"> - юридичних осіб </w:t>
            </w:r>
            <w:r w:rsidRPr="000D1865">
              <w:rPr>
                <w:lang w:val="uk-UA"/>
              </w:rPr>
              <w:t xml:space="preserve">- </w:t>
            </w:r>
            <w:r>
              <w:rPr>
                <w:lang w:val="uk-UA"/>
              </w:rPr>
              <w:t>152</w:t>
            </w:r>
            <w:r w:rsidRPr="000D1865">
              <w:rPr>
                <w:lang w:val="uk-UA"/>
              </w:rPr>
              <w:t>;</w:t>
            </w:r>
          </w:p>
          <w:p w14:paraId="492734EB" w14:textId="77777777" w:rsidR="00156623" w:rsidRDefault="00156623" w:rsidP="0021446C">
            <w:pPr>
              <w:ind w:left="-36"/>
              <w:jc w:val="both"/>
              <w:rPr>
                <w:lang w:val="uk-UA"/>
              </w:rPr>
            </w:pPr>
            <w:r w:rsidRPr="000D1865">
              <w:rPr>
                <w:lang w:val="uk-UA"/>
              </w:rPr>
              <w:t xml:space="preserve">- фізичних осіб </w:t>
            </w:r>
            <w:r>
              <w:rPr>
                <w:lang w:val="uk-UA"/>
              </w:rPr>
              <w:t>–</w:t>
            </w:r>
            <w:r w:rsidRPr="000D1865">
              <w:rPr>
                <w:lang w:val="uk-UA"/>
              </w:rPr>
              <w:t xml:space="preserve"> </w:t>
            </w:r>
            <w:r>
              <w:rPr>
                <w:lang w:val="uk-UA"/>
              </w:rPr>
              <w:t>6243.</w:t>
            </w:r>
          </w:p>
          <w:p w14:paraId="492734EC" w14:textId="77777777" w:rsidR="00156623" w:rsidRPr="000D1865" w:rsidRDefault="00156623" w:rsidP="008E5FF6">
            <w:pPr>
              <w:ind w:left="-36"/>
              <w:jc w:val="both"/>
              <w:rPr>
                <w:lang w:val="uk-UA"/>
              </w:rPr>
            </w:pPr>
            <w:r w:rsidRPr="000D1865">
              <w:rPr>
                <w:lang w:val="uk-UA"/>
              </w:rPr>
              <w:t>Кількість платників податку</w:t>
            </w:r>
            <w:r>
              <w:rPr>
                <w:lang w:val="uk-UA"/>
              </w:rPr>
              <w:t xml:space="preserve"> 2024 рік</w:t>
            </w:r>
            <w:r w:rsidRPr="000D1865">
              <w:rPr>
                <w:lang w:val="uk-UA"/>
              </w:rPr>
              <w:t>:</w:t>
            </w:r>
          </w:p>
          <w:p w14:paraId="492734ED" w14:textId="77777777" w:rsidR="00156623" w:rsidRPr="000D1865" w:rsidRDefault="00156623" w:rsidP="008E5FF6">
            <w:pPr>
              <w:ind w:left="-36"/>
              <w:rPr>
                <w:lang w:val="uk-UA"/>
              </w:rPr>
            </w:pPr>
            <w:r>
              <w:rPr>
                <w:lang w:val="uk-UA"/>
              </w:rPr>
              <w:t xml:space="preserve"> - юридичних осіб </w:t>
            </w:r>
            <w:r w:rsidRPr="000D1865">
              <w:rPr>
                <w:lang w:val="uk-UA"/>
              </w:rPr>
              <w:t xml:space="preserve">- </w:t>
            </w:r>
            <w:r>
              <w:rPr>
                <w:lang w:val="uk-UA"/>
              </w:rPr>
              <w:t>145</w:t>
            </w:r>
            <w:r w:rsidRPr="000D1865">
              <w:rPr>
                <w:lang w:val="uk-UA"/>
              </w:rPr>
              <w:t>;</w:t>
            </w:r>
          </w:p>
          <w:p w14:paraId="492734EE" w14:textId="77777777" w:rsidR="00156623" w:rsidRPr="000D1865" w:rsidRDefault="00156623" w:rsidP="008E5FF6">
            <w:pPr>
              <w:ind w:left="-36"/>
              <w:jc w:val="both"/>
              <w:rPr>
                <w:lang w:val="uk-UA"/>
              </w:rPr>
            </w:pPr>
            <w:r w:rsidRPr="000D1865">
              <w:rPr>
                <w:lang w:val="uk-UA"/>
              </w:rPr>
              <w:t xml:space="preserve">- фізичних осіб </w:t>
            </w:r>
            <w:r>
              <w:rPr>
                <w:lang w:val="uk-UA"/>
              </w:rPr>
              <w:t>–</w:t>
            </w:r>
            <w:r w:rsidRPr="000D1865">
              <w:rPr>
                <w:lang w:val="uk-UA"/>
              </w:rPr>
              <w:t xml:space="preserve"> </w:t>
            </w:r>
            <w:r>
              <w:rPr>
                <w:lang w:val="uk-UA"/>
              </w:rPr>
              <w:t>7246</w:t>
            </w:r>
          </w:p>
        </w:tc>
      </w:tr>
      <w:tr w:rsidR="00156623" w:rsidRPr="00552109" w14:paraId="492734FA" w14:textId="77777777" w:rsidTr="00D62947">
        <w:tc>
          <w:tcPr>
            <w:tcW w:w="516" w:type="dxa"/>
          </w:tcPr>
          <w:p w14:paraId="492734F0" w14:textId="77777777" w:rsidR="00156623" w:rsidRPr="000D1865" w:rsidRDefault="00156623" w:rsidP="000D1865">
            <w:pPr>
              <w:pStyle w:val="a3"/>
              <w:tabs>
                <w:tab w:val="left" w:pos="6761"/>
              </w:tabs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</w:t>
            </w:r>
            <w:r w:rsidRPr="000D1865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14:paraId="492734F1" w14:textId="77777777" w:rsidR="00156623" w:rsidRPr="000D1865" w:rsidRDefault="00156623" w:rsidP="000D1865">
            <w:pPr>
              <w:tabs>
                <w:tab w:val="left" w:pos="6761"/>
              </w:tabs>
              <w:ind w:firstLine="72"/>
              <w:jc w:val="both"/>
              <w:rPr>
                <w:b/>
                <w:bCs/>
                <w:lang w:val="uk-UA"/>
              </w:rPr>
            </w:pPr>
            <w:r w:rsidRPr="000D1865">
              <w:rPr>
                <w:b/>
                <w:bCs/>
                <w:lang w:val="uk-UA"/>
              </w:rPr>
              <w:t>Оцінка результатів реалізації регуляторного акта та ступеня досягнення визначених цілей</w:t>
            </w:r>
          </w:p>
          <w:p w14:paraId="492734F2" w14:textId="77777777" w:rsidR="00156623" w:rsidRPr="000D1865" w:rsidRDefault="00156623" w:rsidP="000D1865">
            <w:pPr>
              <w:tabs>
                <w:tab w:val="left" w:pos="6761"/>
              </w:tabs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5429" w:type="dxa"/>
          </w:tcPr>
          <w:p w14:paraId="492734F3" w14:textId="77777777" w:rsidR="00156623" w:rsidRPr="000D1865" w:rsidRDefault="00156623" w:rsidP="000D1865">
            <w:pPr>
              <w:jc w:val="both"/>
              <w:rPr>
                <w:lang w:val="uk-UA"/>
              </w:rPr>
            </w:pPr>
            <w:r w:rsidRPr="000D1865">
              <w:rPr>
                <w:lang w:val="uk-UA"/>
              </w:rPr>
              <w:t xml:space="preserve">Прийняте рішення </w:t>
            </w:r>
            <w:r>
              <w:rPr>
                <w:lang w:val="uk-UA"/>
              </w:rPr>
              <w:t>дозволило</w:t>
            </w:r>
            <w:r w:rsidRPr="000D1865">
              <w:rPr>
                <w:lang w:val="uk-UA"/>
              </w:rPr>
              <w:t>:</w:t>
            </w:r>
          </w:p>
          <w:p w14:paraId="492734F4" w14:textId="77777777" w:rsidR="00156623" w:rsidRPr="000D1865" w:rsidRDefault="00156623" w:rsidP="000D1865">
            <w:pPr>
              <w:jc w:val="both"/>
              <w:rPr>
                <w:lang w:val="uk-UA"/>
              </w:rPr>
            </w:pPr>
            <w:r w:rsidRPr="000D1865">
              <w:rPr>
                <w:lang w:val="uk-UA"/>
              </w:rPr>
              <w:t>- збільшити надходження до міського бюджету;</w:t>
            </w:r>
          </w:p>
          <w:p w14:paraId="492734F5" w14:textId="77777777" w:rsidR="00156623" w:rsidRPr="000D1865" w:rsidRDefault="00156623" w:rsidP="000D1865">
            <w:pPr>
              <w:jc w:val="both"/>
              <w:rPr>
                <w:lang w:val="uk-UA"/>
              </w:rPr>
            </w:pPr>
            <w:r w:rsidRPr="000D1865">
              <w:rPr>
                <w:lang w:val="uk-UA"/>
              </w:rPr>
              <w:t>- підвищити рівень використання економічних ресурсів міста;</w:t>
            </w:r>
          </w:p>
          <w:p w14:paraId="492734F6" w14:textId="77777777" w:rsidR="00156623" w:rsidRPr="000D1865" w:rsidRDefault="00156623" w:rsidP="000D1865">
            <w:pPr>
              <w:jc w:val="both"/>
              <w:rPr>
                <w:lang w:val="uk-UA"/>
              </w:rPr>
            </w:pPr>
            <w:r w:rsidRPr="000D1865">
              <w:rPr>
                <w:lang w:val="uk-UA"/>
              </w:rPr>
              <w:t>- додаткову можливість направлення коштів на фінансову підтримку підприємств</w:t>
            </w:r>
            <w:r>
              <w:rPr>
                <w:lang w:val="uk-UA"/>
              </w:rPr>
              <w:t>,</w:t>
            </w:r>
            <w:r w:rsidRPr="000D1865">
              <w:rPr>
                <w:lang w:val="uk-UA"/>
              </w:rPr>
              <w:t xml:space="preserve"> </w:t>
            </w:r>
            <w:r>
              <w:rPr>
                <w:lang w:val="uk-UA"/>
              </w:rPr>
              <w:t>які здійснюють свою діяльність за рахунок коштів державного або місцевого бюджету</w:t>
            </w:r>
            <w:r w:rsidRPr="000D1865">
              <w:rPr>
                <w:lang w:val="uk-UA"/>
              </w:rPr>
              <w:t>;</w:t>
            </w:r>
          </w:p>
          <w:p w14:paraId="492734F7" w14:textId="77777777" w:rsidR="00156623" w:rsidRPr="000D1865" w:rsidRDefault="00156623" w:rsidP="00552109">
            <w:pPr>
              <w:rPr>
                <w:lang w:val="uk-UA"/>
              </w:rPr>
            </w:pPr>
            <w:r w:rsidRPr="000D1865">
              <w:rPr>
                <w:lang w:val="uk-UA"/>
              </w:rPr>
              <w:t>- спрямувати надходження коштів на соціально-економічний розвиток  м. Чорноморська;</w:t>
            </w:r>
          </w:p>
          <w:p w14:paraId="492734F8" w14:textId="77777777" w:rsidR="00156623" w:rsidRPr="000D1865" w:rsidRDefault="00156623" w:rsidP="00354C2C">
            <w:pPr>
              <w:rPr>
                <w:lang w:val="uk-UA"/>
              </w:rPr>
            </w:pPr>
            <w:r w:rsidRPr="000D1865">
              <w:rPr>
                <w:lang w:val="uk-UA"/>
              </w:rPr>
              <w:t xml:space="preserve"> - вирішення соціальних проблем населення;       </w:t>
            </w:r>
          </w:p>
          <w:p w14:paraId="492734F9" w14:textId="77777777" w:rsidR="00156623" w:rsidRPr="000D1865" w:rsidRDefault="00156623" w:rsidP="00354C2C">
            <w:pPr>
              <w:rPr>
                <w:lang w:val="uk-UA"/>
              </w:rPr>
            </w:pPr>
            <w:r w:rsidRPr="000D1865">
              <w:rPr>
                <w:lang w:val="uk-UA"/>
              </w:rPr>
              <w:t xml:space="preserve"> - збільшення фінансування місцевих бюджетних програм.</w:t>
            </w:r>
          </w:p>
        </w:tc>
      </w:tr>
    </w:tbl>
    <w:p w14:paraId="492734FB" w14:textId="77777777" w:rsidR="00156623" w:rsidRPr="00027DCF" w:rsidRDefault="00156623" w:rsidP="008772B5">
      <w:pPr>
        <w:pStyle w:val="a3"/>
        <w:tabs>
          <w:tab w:val="left" w:pos="6761"/>
        </w:tabs>
        <w:ind w:firstLine="0"/>
        <w:rPr>
          <w:b w:val="0"/>
          <w:bCs w:val="0"/>
          <w:sz w:val="24"/>
          <w:szCs w:val="24"/>
        </w:rPr>
      </w:pPr>
    </w:p>
    <w:p w14:paraId="492734FC" w14:textId="77777777" w:rsidR="00156623" w:rsidRDefault="00156623" w:rsidP="00E40037">
      <w:pPr>
        <w:tabs>
          <w:tab w:val="left" w:pos="6761"/>
        </w:tabs>
        <w:ind w:right="-545" w:firstLine="360"/>
        <w:jc w:val="both"/>
        <w:rPr>
          <w:lang w:val="uk-UA"/>
        </w:rPr>
      </w:pPr>
      <w:r>
        <w:rPr>
          <w:lang w:val="uk-UA"/>
        </w:rPr>
        <w:t>12.07.2022 прийнято рішення Чорноморської міської ради Одеського району Одеської області № 232-</w:t>
      </w:r>
      <w:r>
        <w:rPr>
          <w:lang w:val="en-US"/>
        </w:rPr>
        <w:t>VIII</w:t>
      </w:r>
      <w:r w:rsidRPr="00312BAE">
        <w:rPr>
          <w:lang w:val="uk-UA"/>
        </w:rPr>
        <w:t xml:space="preserve">  </w:t>
      </w:r>
      <w:r>
        <w:rPr>
          <w:lang w:val="uk-UA"/>
        </w:rPr>
        <w:t>«Про внесення змін до рішення Чорноморської міської ради Одеського району Одеської області від 26.06.2019 № 444</w:t>
      </w:r>
      <w:r w:rsidRPr="000D1865">
        <w:rPr>
          <w:lang w:val="uk-UA"/>
        </w:rPr>
        <w:t xml:space="preserve">-VII «Про встановлення ставок та пільг із сплати </w:t>
      </w:r>
      <w:r>
        <w:rPr>
          <w:lang w:val="uk-UA"/>
        </w:rPr>
        <w:t>земельного податку</w:t>
      </w:r>
      <w:r w:rsidRPr="000D1865">
        <w:rPr>
          <w:lang w:val="uk-UA"/>
        </w:rPr>
        <w:t xml:space="preserve"> на території Чорноморської міської ради </w:t>
      </w:r>
      <w:r>
        <w:rPr>
          <w:lang w:val="uk-UA"/>
        </w:rPr>
        <w:t>Одеського району Одеської області</w:t>
      </w:r>
      <w:r w:rsidRPr="000D1865">
        <w:rPr>
          <w:lang w:val="uk-UA"/>
        </w:rPr>
        <w:t xml:space="preserve">" </w:t>
      </w:r>
      <w:r>
        <w:rPr>
          <w:lang w:val="uk-UA"/>
        </w:rPr>
        <w:t xml:space="preserve"> стосовно внесення змін в розмір земельного податку. Дане рішення набирає чинності через шість місяців після припинення чи скасування воєнного стану. </w:t>
      </w:r>
    </w:p>
    <w:p w14:paraId="492734FD" w14:textId="77777777" w:rsidR="00156623" w:rsidRDefault="00156623" w:rsidP="00E40037">
      <w:pPr>
        <w:tabs>
          <w:tab w:val="left" w:pos="6761"/>
        </w:tabs>
        <w:ind w:right="-545" w:firstLine="360"/>
        <w:jc w:val="both"/>
        <w:rPr>
          <w:lang w:val="uk-UA"/>
        </w:rPr>
      </w:pPr>
      <w:r>
        <w:rPr>
          <w:lang w:val="uk-UA"/>
        </w:rPr>
        <w:t>08.08.2024 прийнято рішення від № 658-</w:t>
      </w:r>
      <w:r>
        <w:rPr>
          <w:lang w:val="en-US"/>
        </w:rPr>
        <w:t>VIII</w:t>
      </w:r>
      <w:r w:rsidRPr="00312BAE">
        <w:rPr>
          <w:lang w:val="uk-UA"/>
        </w:rPr>
        <w:t xml:space="preserve"> </w:t>
      </w:r>
      <w:r>
        <w:rPr>
          <w:lang w:val="uk-UA"/>
        </w:rPr>
        <w:t>«</w:t>
      </w:r>
      <w:r w:rsidRPr="002B7403">
        <w:rPr>
          <w:lang w:val="uk-UA"/>
        </w:rPr>
        <w:t xml:space="preserve">Про внесення змін до рішення Чорноморської  міської ради Одеського району Одеської області  від 26.06.2019 № 444-VII </w:t>
      </w:r>
      <w:r>
        <w:rPr>
          <w:lang w:val="uk-UA"/>
        </w:rPr>
        <w:t>«</w:t>
      </w:r>
      <w:r w:rsidRPr="002B7403">
        <w:rPr>
          <w:lang w:val="uk-UA"/>
        </w:rPr>
        <w:t>Про встановлення ставок та пільг із сплати земельного податку на території Чорноморської міської ради Одеського району Одеської області</w:t>
      </w:r>
      <w:r>
        <w:rPr>
          <w:lang w:val="uk-UA"/>
        </w:rPr>
        <w:t>»</w:t>
      </w:r>
      <w:r w:rsidRPr="002B7403">
        <w:rPr>
          <w:lang w:val="uk-UA"/>
        </w:rPr>
        <w:t xml:space="preserve"> </w:t>
      </w:r>
      <w:r>
        <w:rPr>
          <w:lang w:val="uk-UA"/>
        </w:rPr>
        <w:t>(зі змінами)» стосовно виключення з додатку 2 «</w:t>
      </w:r>
      <w:r w:rsidRPr="004D1C21">
        <w:rPr>
          <w:lang w:val="uk-UA"/>
        </w:rPr>
        <w:t>П</w:t>
      </w:r>
      <w:r>
        <w:rPr>
          <w:lang w:val="uk-UA"/>
        </w:rPr>
        <w:t>ерелік</w:t>
      </w:r>
      <w:r w:rsidRPr="004D1C21">
        <w:rPr>
          <w:lang w:val="uk-UA"/>
        </w:rPr>
        <w:t xml:space="preserve"> пільг для фізичних та юридичних осіб, наданих відповідно до пункту 284.1 статті 284 Податкового кодексу України, із сплати земельного податку на території Чорноморської</w:t>
      </w:r>
      <w:r>
        <w:rPr>
          <w:lang w:val="uk-UA"/>
        </w:rPr>
        <w:t xml:space="preserve"> </w:t>
      </w:r>
      <w:r w:rsidRPr="004D1C21">
        <w:rPr>
          <w:lang w:val="uk-UA"/>
        </w:rPr>
        <w:t xml:space="preserve">міської ради </w:t>
      </w:r>
      <w:r>
        <w:rPr>
          <w:lang w:val="uk-UA"/>
        </w:rPr>
        <w:t xml:space="preserve">Одеського району </w:t>
      </w:r>
      <w:r w:rsidRPr="004D1C21">
        <w:rPr>
          <w:lang w:val="uk-UA"/>
        </w:rPr>
        <w:t>Одеської області</w:t>
      </w:r>
      <w:r>
        <w:rPr>
          <w:lang w:val="uk-UA"/>
        </w:rPr>
        <w:t>» групу платників «Комунальні підприємства, засновані Чорноморською міською радою Одеського району Одеської області.</w:t>
      </w:r>
    </w:p>
    <w:p w14:paraId="492734FE" w14:textId="77777777" w:rsidR="00156623" w:rsidRPr="00E40037" w:rsidRDefault="00156623" w:rsidP="00E40037">
      <w:pPr>
        <w:tabs>
          <w:tab w:val="left" w:pos="6761"/>
        </w:tabs>
        <w:ind w:right="-545" w:firstLine="360"/>
        <w:jc w:val="both"/>
        <w:rPr>
          <w:lang w:val="uk-UA"/>
        </w:rPr>
      </w:pPr>
      <w:r>
        <w:rPr>
          <w:lang w:val="uk-UA"/>
        </w:rPr>
        <w:t>Регуляторний акт є актуальним, змін або скасування не потребує.</w:t>
      </w:r>
    </w:p>
    <w:p w14:paraId="492734FF" w14:textId="77777777" w:rsidR="00156623" w:rsidRDefault="00156623" w:rsidP="008772B5">
      <w:pPr>
        <w:tabs>
          <w:tab w:val="left" w:pos="6761"/>
        </w:tabs>
        <w:rPr>
          <w:lang w:val="uk-UA"/>
        </w:rPr>
      </w:pPr>
    </w:p>
    <w:p w14:paraId="49273500" w14:textId="77777777" w:rsidR="00156623" w:rsidRDefault="00156623" w:rsidP="008772B5">
      <w:pPr>
        <w:tabs>
          <w:tab w:val="left" w:pos="6761"/>
        </w:tabs>
        <w:rPr>
          <w:b/>
          <w:bCs/>
          <w:sz w:val="28"/>
          <w:szCs w:val="28"/>
          <w:lang w:val="uk-UA"/>
        </w:rPr>
      </w:pPr>
    </w:p>
    <w:p w14:paraId="49273501" w14:textId="77777777" w:rsidR="00156623" w:rsidRPr="008754DE" w:rsidRDefault="00156623" w:rsidP="008772B5">
      <w:pPr>
        <w:tabs>
          <w:tab w:val="left" w:pos="6761"/>
        </w:tabs>
        <w:rPr>
          <w:lang w:val="uk-UA"/>
        </w:rPr>
      </w:pPr>
      <w:r>
        <w:rPr>
          <w:lang w:val="uk-UA"/>
        </w:rPr>
        <w:t>Заступник н</w:t>
      </w:r>
      <w:r w:rsidRPr="008754DE">
        <w:rPr>
          <w:lang w:val="uk-UA"/>
        </w:rPr>
        <w:t>ачальник</w:t>
      </w:r>
      <w:r>
        <w:rPr>
          <w:lang w:val="uk-UA"/>
        </w:rPr>
        <w:t>а</w:t>
      </w:r>
      <w:r w:rsidRPr="008754DE">
        <w:rPr>
          <w:lang w:val="uk-UA"/>
        </w:rPr>
        <w:t xml:space="preserve"> управління</w:t>
      </w:r>
    </w:p>
    <w:p w14:paraId="49273502" w14:textId="77777777" w:rsidR="00156623" w:rsidRPr="008754DE" w:rsidRDefault="00156623" w:rsidP="008772B5">
      <w:pPr>
        <w:tabs>
          <w:tab w:val="left" w:pos="6761"/>
        </w:tabs>
        <w:rPr>
          <w:lang w:val="uk-UA"/>
        </w:rPr>
      </w:pPr>
      <w:r w:rsidRPr="008754DE">
        <w:rPr>
          <w:lang w:val="uk-UA"/>
        </w:rPr>
        <w:t xml:space="preserve">комунальної власності </w:t>
      </w:r>
    </w:p>
    <w:p w14:paraId="49273503" w14:textId="77777777" w:rsidR="00156623" w:rsidRPr="008754DE" w:rsidRDefault="00156623" w:rsidP="008772B5">
      <w:pPr>
        <w:tabs>
          <w:tab w:val="left" w:pos="6761"/>
        </w:tabs>
        <w:rPr>
          <w:lang w:val="uk-UA"/>
        </w:rPr>
      </w:pPr>
      <w:r w:rsidRPr="008754DE">
        <w:rPr>
          <w:lang w:val="uk-UA"/>
        </w:rPr>
        <w:t xml:space="preserve">та земельних відносин                                    </w:t>
      </w:r>
      <w:r w:rsidRPr="008754DE">
        <w:rPr>
          <w:lang w:val="uk-UA"/>
        </w:rPr>
        <w:tab/>
      </w:r>
      <w:r>
        <w:rPr>
          <w:lang w:val="uk-UA"/>
        </w:rPr>
        <w:t>Олена КОВАЛЬ</w:t>
      </w:r>
    </w:p>
    <w:p w14:paraId="49273504" w14:textId="77777777" w:rsidR="00156623" w:rsidRDefault="00156623" w:rsidP="008772B5">
      <w:pPr>
        <w:tabs>
          <w:tab w:val="left" w:pos="6761"/>
        </w:tabs>
        <w:rPr>
          <w:lang w:val="uk-UA"/>
        </w:rPr>
      </w:pPr>
    </w:p>
    <w:p w14:paraId="49273505" w14:textId="77777777" w:rsidR="00156623" w:rsidRDefault="00156623" w:rsidP="008772B5">
      <w:pPr>
        <w:tabs>
          <w:tab w:val="left" w:pos="6761"/>
        </w:tabs>
        <w:rPr>
          <w:lang w:val="uk-UA"/>
        </w:rPr>
      </w:pPr>
    </w:p>
    <w:sectPr w:rsidR="00156623" w:rsidSect="007C2DF8">
      <w:headerReference w:type="default" r:id="rId7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6EAD4" w14:textId="77777777" w:rsidR="007622A7" w:rsidRDefault="007622A7">
      <w:r>
        <w:separator/>
      </w:r>
    </w:p>
  </w:endnote>
  <w:endnote w:type="continuationSeparator" w:id="0">
    <w:p w14:paraId="3E6CEECC" w14:textId="77777777" w:rsidR="007622A7" w:rsidRDefault="0076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70C36" w14:textId="77777777" w:rsidR="007622A7" w:rsidRDefault="007622A7">
      <w:r>
        <w:separator/>
      </w:r>
    </w:p>
  </w:footnote>
  <w:footnote w:type="continuationSeparator" w:id="0">
    <w:p w14:paraId="538B4DE4" w14:textId="77777777" w:rsidR="007622A7" w:rsidRDefault="00762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350A" w14:textId="77777777" w:rsidR="00156623" w:rsidRDefault="00156623" w:rsidP="00256106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14:paraId="4927350B" w14:textId="77777777" w:rsidR="00156623" w:rsidRDefault="0015662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C6EAE"/>
    <w:multiLevelType w:val="hybridMultilevel"/>
    <w:tmpl w:val="3FF29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20082E"/>
    <w:multiLevelType w:val="hybridMultilevel"/>
    <w:tmpl w:val="78A842A2"/>
    <w:lvl w:ilvl="0" w:tplc="2884BD86">
      <w:start w:val="31"/>
      <w:numFmt w:val="bullet"/>
      <w:lvlText w:val="-"/>
      <w:lvlJc w:val="left"/>
      <w:pPr>
        <w:ind w:left="61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5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7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1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3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72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B5"/>
    <w:rsid w:val="0001335B"/>
    <w:rsid w:val="000208F0"/>
    <w:rsid w:val="00027DCF"/>
    <w:rsid w:val="00060BEC"/>
    <w:rsid w:val="000B747D"/>
    <w:rsid w:val="000C7CEF"/>
    <w:rsid w:val="000D1865"/>
    <w:rsid w:val="000D3C98"/>
    <w:rsid w:val="000E534F"/>
    <w:rsid w:val="0012512C"/>
    <w:rsid w:val="00137684"/>
    <w:rsid w:val="00156623"/>
    <w:rsid w:val="00183653"/>
    <w:rsid w:val="00186E93"/>
    <w:rsid w:val="001B151E"/>
    <w:rsid w:val="001E38EE"/>
    <w:rsid w:val="00205DC1"/>
    <w:rsid w:val="00207732"/>
    <w:rsid w:val="0021412F"/>
    <w:rsid w:val="0021446C"/>
    <w:rsid w:val="002365AD"/>
    <w:rsid w:val="00242224"/>
    <w:rsid w:val="002453CC"/>
    <w:rsid w:val="00256106"/>
    <w:rsid w:val="00290C3B"/>
    <w:rsid w:val="002958A1"/>
    <w:rsid w:val="00295EEC"/>
    <w:rsid w:val="002A71DD"/>
    <w:rsid w:val="002B0847"/>
    <w:rsid w:val="002B7403"/>
    <w:rsid w:val="002D519E"/>
    <w:rsid w:val="00312BAE"/>
    <w:rsid w:val="003359D1"/>
    <w:rsid w:val="00353F73"/>
    <w:rsid w:val="003541E3"/>
    <w:rsid w:val="00354C2C"/>
    <w:rsid w:val="003B0BC4"/>
    <w:rsid w:val="003C2DDC"/>
    <w:rsid w:val="003D04FC"/>
    <w:rsid w:val="003D5296"/>
    <w:rsid w:val="00436013"/>
    <w:rsid w:val="00452B59"/>
    <w:rsid w:val="0048683A"/>
    <w:rsid w:val="004B6B36"/>
    <w:rsid w:val="004C5ECA"/>
    <w:rsid w:val="004D1C21"/>
    <w:rsid w:val="004E6462"/>
    <w:rsid w:val="004E6F31"/>
    <w:rsid w:val="004E72E0"/>
    <w:rsid w:val="00552109"/>
    <w:rsid w:val="005815E1"/>
    <w:rsid w:val="00585DBF"/>
    <w:rsid w:val="00590F74"/>
    <w:rsid w:val="005A175F"/>
    <w:rsid w:val="005B2B0E"/>
    <w:rsid w:val="005E03BD"/>
    <w:rsid w:val="006249DA"/>
    <w:rsid w:val="00647BFB"/>
    <w:rsid w:val="00654D39"/>
    <w:rsid w:val="006761AF"/>
    <w:rsid w:val="006853DE"/>
    <w:rsid w:val="006C689B"/>
    <w:rsid w:val="00701BC3"/>
    <w:rsid w:val="00701E36"/>
    <w:rsid w:val="007048BA"/>
    <w:rsid w:val="00715ADC"/>
    <w:rsid w:val="0074361B"/>
    <w:rsid w:val="00745591"/>
    <w:rsid w:val="00750DA3"/>
    <w:rsid w:val="007622A7"/>
    <w:rsid w:val="007858D7"/>
    <w:rsid w:val="0079636D"/>
    <w:rsid w:val="007C2DF8"/>
    <w:rsid w:val="007C5B96"/>
    <w:rsid w:val="007D0E69"/>
    <w:rsid w:val="007F33DC"/>
    <w:rsid w:val="00800692"/>
    <w:rsid w:val="00813A59"/>
    <w:rsid w:val="0081529A"/>
    <w:rsid w:val="0082390A"/>
    <w:rsid w:val="00844B6B"/>
    <w:rsid w:val="00860E2C"/>
    <w:rsid w:val="00867D89"/>
    <w:rsid w:val="008754DE"/>
    <w:rsid w:val="008772B5"/>
    <w:rsid w:val="008A3582"/>
    <w:rsid w:val="008C4142"/>
    <w:rsid w:val="008C5495"/>
    <w:rsid w:val="008C6B39"/>
    <w:rsid w:val="008E42CA"/>
    <w:rsid w:val="008E5FF6"/>
    <w:rsid w:val="009369D5"/>
    <w:rsid w:val="00960982"/>
    <w:rsid w:val="0096722B"/>
    <w:rsid w:val="0099110C"/>
    <w:rsid w:val="009B4C6E"/>
    <w:rsid w:val="009B7712"/>
    <w:rsid w:val="009F6AD4"/>
    <w:rsid w:val="00A005F3"/>
    <w:rsid w:val="00A25224"/>
    <w:rsid w:val="00A833D9"/>
    <w:rsid w:val="00A91FE7"/>
    <w:rsid w:val="00AC07F7"/>
    <w:rsid w:val="00AC2C1E"/>
    <w:rsid w:val="00AF3AD6"/>
    <w:rsid w:val="00B05839"/>
    <w:rsid w:val="00B145C2"/>
    <w:rsid w:val="00B45CB8"/>
    <w:rsid w:val="00B55FF5"/>
    <w:rsid w:val="00B64DF4"/>
    <w:rsid w:val="00B71A25"/>
    <w:rsid w:val="00B81DAA"/>
    <w:rsid w:val="00BD04D3"/>
    <w:rsid w:val="00BE2048"/>
    <w:rsid w:val="00C509E9"/>
    <w:rsid w:val="00C61C3F"/>
    <w:rsid w:val="00CA2265"/>
    <w:rsid w:val="00CA4984"/>
    <w:rsid w:val="00CA53C7"/>
    <w:rsid w:val="00CB342E"/>
    <w:rsid w:val="00D0586A"/>
    <w:rsid w:val="00D06D55"/>
    <w:rsid w:val="00D168EE"/>
    <w:rsid w:val="00D2293B"/>
    <w:rsid w:val="00D53429"/>
    <w:rsid w:val="00D62947"/>
    <w:rsid w:val="00D65308"/>
    <w:rsid w:val="00D65CC4"/>
    <w:rsid w:val="00D7284D"/>
    <w:rsid w:val="00D966FC"/>
    <w:rsid w:val="00DD3BCE"/>
    <w:rsid w:val="00E1170D"/>
    <w:rsid w:val="00E22DD8"/>
    <w:rsid w:val="00E34A7C"/>
    <w:rsid w:val="00E40037"/>
    <w:rsid w:val="00E66A97"/>
    <w:rsid w:val="00E94822"/>
    <w:rsid w:val="00EB6FBF"/>
    <w:rsid w:val="00ED2B94"/>
    <w:rsid w:val="00ED78B7"/>
    <w:rsid w:val="00EE0E06"/>
    <w:rsid w:val="00EE11A3"/>
    <w:rsid w:val="00F024CD"/>
    <w:rsid w:val="00F205D2"/>
    <w:rsid w:val="00F53881"/>
    <w:rsid w:val="00F6028A"/>
    <w:rsid w:val="00FB33C5"/>
    <w:rsid w:val="00FB5287"/>
    <w:rsid w:val="00FD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2734B4"/>
  <w15:docId w15:val="{1C37BB39-E350-4388-99DD-61EBD3E1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2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772B5"/>
    <w:pPr>
      <w:ind w:firstLine="709"/>
      <w:jc w:val="center"/>
    </w:pPr>
    <w:rPr>
      <w:b/>
      <w:bCs/>
      <w:sz w:val="28"/>
      <w:szCs w:val="28"/>
      <w:lang w:val="uk-UA"/>
    </w:rPr>
  </w:style>
  <w:style w:type="character" w:customStyle="1" w:styleId="a4">
    <w:name w:val="Назва Знак"/>
    <w:basedOn w:val="a0"/>
    <w:link w:val="a3"/>
    <w:uiPriority w:val="99"/>
    <w:locked/>
    <w:rsid w:val="00295EEC"/>
    <w:rPr>
      <w:rFonts w:ascii="Cambria" w:hAnsi="Cambria" w:cs="Cambria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8772B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5A175F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295EEC"/>
    <w:rPr>
      <w:sz w:val="2"/>
      <w:szCs w:val="2"/>
    </w:rPr>
  </w:style>
  <w:style w:type="paragraph" w:styleId="a8">
    <w:name w:val="header"/>
    <w:basedOn w:val="a"/>
    <w:link w:val="a9"/>
    <w:uiPriority w:val="99"/>
    <w:rsid w:val="007C2DF8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semiHidden/>
    <w:locked/>
    <w:rsid w:val="00654D39"/>
    <w:rPr>
      <w:sz w:val="24"/>
      <w:szCs w:val="24"/>
    </w:rPr>
  </w:style>
  <w:style w:type="character" w:styleId="aa">
    <w:name w:val="page number"/>
    <w:basedOn w:val="a0"/>
    <w:uiPriority w:val="99"/>
    <w:rsid w:val="007C2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6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3199</Words>
  <Characters>1824</Characters>
  <Application>Microsoft Office Word</Application>
  <DocSecurity>0</DocSecurity>
  <Lines>15</Lines>
  <Paragraphs>10</Paragraphs>
  <ScaleCrop>false</ScaleCrop>
  <Company>Grizli777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</dc:title>
  <dc:subject/>
  <dc:creator>kivanova</dc:creator>
  <cp:keywords/>
  <dc:description/>
  <cp:lastModifiedBy>Пользователь</cp:lastModifiedBy>
  <cp:revision>4</cp:revision>
  <cp:lastPrinted>2007-02-04T12:22:00Z</cp:lastPrinted>
  <dcterms:created xsi:type="dcterms:W3CDTF">2025-01-15T07:55:00Z</dcterms:created>
  <dcterms:modified xsi:type="dcterms:W3CDTF">2025-01-15T07:55:00Z</dcterms:modified>
</cp:coreProperties>
</file>