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9A0B" w14:textId="77777777" w:rsidR="003C12B2" w:rsidRDefault="002832F6" w:rsidP="003C12B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</w:p>
    <w:p w14:paraId="10AF707E" w14:textId="77777777" w:rsidR="003C12B2" w:rsidRDefault="003C12B2" w:rsidP="003C12B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57B3E35" w14:textId="77777777" w:rsidR="00BE5866" w:rsidRPr="00BD2B90" w:rsidRDefault="00BE5866" w:rsidP="003C12B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644D4F">
        <w:rPr>
          <w:rFonts w:ascii="Times New Roman" w:hAnsi="Times New Roman"/>
          <w:sz w:val="24"/>
          <w:szCs w:val="24"/>
          <w:lang w:val="uk-UA"/>
        </w:rPr>
        <w:t>1</w:t>
      </w:r>
    </w:p>
    <w:p w14:paraId="540E4614" w14:textId="77777777" w:rsidR="00BE5866" w:rsidRPr="00BD2B90" w:rsidRDefault="00BE5866" w:rsidP="003C12B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>до р</w:t>
      </w:r>
      <w:proofErr w:type="spellStart"/>
      <w:r w:rsidRPr="00BD2B90">
        <w:rPr>
          <w:rFonts w:ascii="Times New Roman" w:hAnsi="Times New Roman"/>
          <w:sz w:val="24"/>
          <w:szCs w:val="24"/>
        </w:rPr>
        <w:t>ішення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міської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ради</w:t>
      </w:r>
    </w:p>
    <w:p w14:paraId="42A34A67" w14:textId="77777777" w:rsidR="00BE5866" w:rsidRPr="007364C1" w:rsidRDefault="003C12B2" w:rsidP="003C12B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E5866" w:rsidRPr="00BD2B90">
        <w:rPr>
          <w:rFonts w:ascii="Times New Roman" w:hAnsi="Times New Roman"/>
          <w:sz w:val="24"/>
          <w:szCs w:val="24"/>
          <w:lang w:val="uk-UA"/>
        </w:rPr>
        <w:t>_____</w:t>
      </w:r>
      <w:r w:rsidR="000D42E6" w:rsidRPr="00BD2B90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>2024</w:t>
      </w:r>
      <w:r w:rsidR="00BE5866" w:rsidRPr="00BD2B90">
        <w:rPr>
          <w:rFonts w:ascii="Times New Roman" w:hAnsi="Times New Roman"/>
          <w:sz w:val="24"/>
          <w:szCs w:val="24"/>
        </w:rPr>
        <w:t xml:space="preserve"> № </w:t>
      </w:r>
      <w:r w:rsidR="00BE5866" w:rsidRPr="00BD2B90">
        <w:rPr>
          <w:rFonts w:ascii="Times New Roman" w:hAnsi="Times New Roman"/>
          <w:sz w:val="24"/>
          <w:szCs w:val="24"/>
          <w:lang w:val="uk-UA"/>
        </w:rPr>
        <w:t>_____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</w:p>
    <w:p w14:paraId="0D6A22CB" w14:textId="77777777" w:rsidR="00BE5866" w:rsidRPr="00BD2B90" w:rsidRDefault="00BE5866" w:rsidP="003C12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C58343" w14:textId="77777777" w:rsidR="002D77E1" w:rsidRPr="003C12B2" w:rsidRDefault="00BE5866" w:rsidP="003C12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C12B2">
        <w:rPr>
          <w:rFonts w:ascii="Times New Roman" w:hAnsi="Times New Roman"/>
          <w:b/>
          <w:bCs/>
          <w:sz w:val="24"/>
          <w:szCs w:val="24"/>
        </w:rPr>
        <w:t xml:space="preserve">Методика </w:t>
      </w:r>
      <w:proofErr w:type="spellStart"/>
      <w:r w:rsidRPr="003C12B2">
        <w:rPr>
          <w:rFonts w:ascii="Times New Roman" w:hAnsi="Times New Roman"/>
          <w:b/>
          <w:bCs/>
          <w:sz w:val="24"/>
          <w:szCs w:val="24"/>
        </w:rPr>
        <w:t>розрахунку</w:t>
      </w:r>
      <w:proofErr w:type="spellEnd"/>
      <w:r w:rsidRPr="003C12B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C12B2">
        <w:rPr>
          <w:rFonts w:ascii="Times New Roman" w:hAnsi="Times New Roman"/>
          <w:b/>
          <w:bCs/>
          <w:sz w:val="24"/>
          <w:szCs w:val="24"/>
        </w:rPr>
        <w:t>орендної</w:t>
      </w:r>
      <w:proofErr w:type="spellEnd"/>
      <w:r w:rsidRPr="003C12B2">
        <w:rPr>
          <w:rFonts w:ascii="Times New Roman" w:hAnsi="Times New Roman"/>
          <w:b/>
          <w:bCs/>
          <w:sz w:val="24"/>
          <w:szCs w:val="24"/>
        </w:rPr>
        <w:t xml:space="preserve"> плати</w:t>
      </w:r>
      <w:r w:rsidR="000633AE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 за майно,</w:t>
      </w:r>
      <w:r w:rsidRPr="003C12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349800D" w14:textId="77777777" w:rsidR="00816CC4" w:rsidRPr="003C12B2" w:rsidRDefault="002D1FBC" w:rsidP="003C12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C12B2">
        <w:rPr>
          <w:rFonts w:ascii="Times New Roman" w:hAnsi="Times New Roman"/>
          <w:b/>
          <w:bCs/>
          <w:sz w:val="24"/>
          <w:szCs w:val="24"/>
          <w:lang w:val="uk-UA"/>
        </w:rPr>
        <w:t>що</w:t>
      </w:r>
      <w:r w:rsidR="000633AE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D55A0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перебуває у </w:t>
      </w:r>
      <w:r w:rsidR="000633AE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 комунальн</w:t>
      </w:r>
      <w:r w:rsidR="008D55A0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ій </w:t>
      </w:r>
      <w:r w:rsidR="000633AE"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 власності Чорноморської міської територіальної громади в особі Чорноморської  міської ради Одеського району Одеської області</w:t>
      </w:r>
      <w:r w:rsidR="00816CC4" w:rsidRPr="003C12B2">
        <w:rPr>
          <w:rFonts w:ascii="Times New Roman" w:hAnsi="Times New Roman"/>
          <w:b/>
          <w:bCs/>
          <w:sz w:val="24"/>
          <w:szCs w:val="24"/>
          <w:lang w:val="uk-UA"/>
        </w:rPr>
        <w:t>,</w:t>
      </w:r>
    </w:p>
    <w:p w14:paraId="55C23CFA" w14:textId="77777777" w:rsidR="006A1447" w:rsidRPr="003C12B2" w:rsidRDefault="00816CC4" w:rsidP="003C12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C12B2">
        <w:rPr>
          <w:rFonts w:ascii="Times New Roman" w:hAnsi="Times New Roman"/>
          <w:b/>
          <w:bCs/>
          <w:sz w:val="24"/>
          <w:szCs w:val="24"/>
          <w:lang w:val="uk-UA"/>
        </w:rPr>
        <w:t xml:space="preserve"> та пропорції її розподілу </w:t>
      </w:r>
    </w:p>
    <w:p w14:paraId="17AA1CE3" w14:textId="77777777" w:rsidR="000633AE" w:rsidRPr="00BD2B90" w:rsidRDefault="000633AE" w:rsidP="003C12B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7422F0AD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Ця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визначає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механізм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об’єктів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визначених</w:t>
      </w:r>
      <w:proofErr w:type="spellEnd"/>
      <w:r w:rsidR="00591585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7" w:anchor="n67" w:tgtFrame="_blank" w:history="1">
        <w:proofErr w:type="spellStart"/>
        <w:r w:rsidRPr="003C12B2">
          <w:rPr>
            <w:rFonts w:ascii="Times New Roman" w:eastAsia="Times New Roman" w:hAnsi="Times New Roman"/>
            <w:sz w:val="24"/>
            <w:szCs w:val="24"/>
            <w:lang w:eastAsia="ru-RU"/>
          </w:rPr>
          <w:t>частиною</w:t>
        </w:r>
        <w:proofErr w:type="spellEnd"/>
        <w:r w:rsidRPr="003C12B2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</w:t>
        </w:r>
        <w:proofErr w:type="spellStart"/>
        <w:r w:rsidRPr="003C12B2">
          <w:rPr>
            <w:rFonts w:ascii="Times New Roman" w:eastAsia="Times New Roman" w:hAnsi="Times New Roman"/>
            <w:sz w:val="24"/>
            <w:szCs w:val="24"/>
            <w:lang w:eastAsia="ru-RU"/>
          </w:rPr>
          <w:t>першою</w:t>
        </w:r>
        <w:proofErr w:type="spellEnd"/>
      </w:hyperlink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статті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3 Закону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“Про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комунального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майна” (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далі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- Закон).</w:t>
      </w:r>
    </w:p>
    <w:p w14:paraId="7B78103C" w14:textId="77777777" w:rsidR="00324975" w:rsidRPr="00BD2B90" w:rsidRDefault="00324975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bookmarkStart w:id="0" w:name="n12"/>
      <w:bookmarkEnd w:id="0"/>
      <w:r w:rsidRPr="00BD2B90">
        <w:rPr>
          <w:rFonts w:ascii="Times New Roman" w:hAnsi="Times New Roman"/>
          <w:sz w:val="24"/>
          <w:szCs w:val="24"/>
        </w:rPr>
        <w:t xml:space="preserve">Методика </w:t>
      </w:r>
      <w:proofErr w:type="spellStart"/>
      <w:r w:rsidRPr="00BD2B90">
        <w:rPr>
          <w:rFonts w:ascii="Times New Roman" w:hAnsi="Times New Roman"/>
          <w:sz w:val="24"/>
          <w:szCs w:val="24"/>
        </w:rPr>
        <w:t>розрахунку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орендної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 w:rsidRPr="00BD2B90">
        <w:rPr>
          <w:rFonts w:ascii="Times New Roman" w:hAnsi="Times New Roman"/>
          <w:sz w:val="24"/>
          <w:szCs w:val="24"/>
        </w:rPr>
        <w:t>оренду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майна</w:t>
      </w:r>
      <w:r w:rsidRPr="00BD2B90">
        <w:rPr>
          <w:rFonts w:ascii="Times New Roman" w:hAnsi="Times New Roman"/>
          <w:sz w:val="24"/>
          <w:szCs w:val="24"/>
          <w:lang w:val="uk-UA"/>
        </w:rPr>
        <w:t>,</w:t>
      </w:r>
      <w:r w:rsidRPr="00BD2B90">
        <w:rPr>
          <w:rFonts w:ascii="Times New Roman" w:hAnsi="Times New Roman"/>
          <w:sz w:val="24"/>
          <w:szCs w:val="24"/>
        </w:rPr>
        <w:t xml:space="preserve"> </w:t>
      </w:r>
      <w:r w:rsidR="005E1F4A" w:rsidRPr="00BD2B90">
        <w:rPr>
          <w:rFonts w:ascii="Times New Roman" w:hAnsi="Times New Roman"/>
          <w:sz w:val="24"/>
          <w:szCs w:val="24"/>
          <w:lang w:val="uk-UA"/>
        </w:rPr>
        <w:t>що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13748" w:rsidRPr="00BD2B90">
        <w:rPr>
          <w:rFonts w:ascii="Times New Roman" w:hAnsi="Times New Roman"/>
          <w:sz w:val="24"/>
          <w:szCs w:val="24"/>
          <w:lang w:val="uk-UA"/>
        </w:rPr>
        <w:t xml:space="preserve">перебуває </w:t>
      </w:r>
      <w:proofErr w:type="gramStart"/>
      <w:r w:rsidR="00613748" w:rsidRPr="00BD2B90"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комунальн</w:t>
      </w:r>
      <w:r w:rsidR="00613748" w:rsidRPr="00BD2B90">
        <w:rPr>
          <w:rFonts w:ascii="Times New Roman" w:hAnsi="Times New Roman"/>
          <w:sz w:val="24"/>
          <w:szCs w:val="24"/>
          <w:lang w:val="uk-UA"/>
        </w:rPr>
        <w:t>ій</w:t>
      </w:r>
      <w:proofErr w:type="gramEnd"/>
      <w:r w:rsidRPr="00BD2B90">
        <w:rPr>
          <w:rFonts w:ascii="Times New Roman" w:hAnsi="Times New Roman"/>
          <w:sz w:val="24"/>
          <w:szCs w:val="24"/>
          <w:lang w:val="uk-UA"/>
        </w:rPr>
        <w:t xml:space="preserve"> власності Чорноморської міської територіальної громади в особі Чорноморської  міської ради Одеського району Одеської області </w:t>
      </w:r>
      <w:r w:rsidRPr="00BD2B90">
        <w:rPr>
          <w:rFonts w:ascii="Times New Roman" w:hAnsi="Times New Roman"/>
          <w:sz w:val="24"/>
          <w:szCs w:val="24"/>
        </w:rPr>
        <w:t>(</w:t>
      </w:r>
      <w:proofErr w:type="spellStart"/>
      <w:r w:rsidRPr="00BD2B90">
        <w:rPr>
          <w:rFonts w:ascii="Times New Roman" w:hAnsi="Times New Roman"/>
          <w:sz w:val="24"/>
          <w:szCs w:val="24"/>
        </w:rPr>
        <w:t>далі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- Методика)</w:t>
      </w:r>
      <w:r w:rsidR="000D0932">
        <w:rPr>
          <w:rFonts w:ascii="Times New Roman" w:hAnsi="Times New Roman"/>
          <w:sz w:val="24"/>
          <w:szCs w:val="24"/>
          <w:lang w:val="uk-UA"/>
        </w:rPr>
        <w:t>,</w:t>
      </w:r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розроблена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D2B90">
        <w:rPr>
          <w:rFonts w:ascii="Times New Roman" w:hAnsi="Times New Roman"/>
          <w:sz w:val="24"/>
          <w:szCs w:val="24"/>
        </w:rPr>
        <w:t>абз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. 2 ч. 2 ст. 17 Закону </w:t>
      </w:r>
      <w:proofErr w:type="spellStart"/>
      <w:r w:rsidRPr="00BD2B9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"Про </w:t>
      </w:r>
      <w:proofErr w:type="spellStart"/>
      <w:r w:rsidRPr="00BD2B90">
        <w:rPr>
          <w:rFonts w:ascii="Times New Roman" w:hAnsi="Times New Roman"/>
          <w:sz w:val="24"/>
          <w:szCs w:val="24"/>
        </w:rPr>
        <w:t>оренду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державного та </w:t>
      </w:r>
      <w:proofErr w:type="spellStart"/>
      <w:r w:rsidRPr="00BD2B90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майна» (</w:t>
      </w:r>
      <w:proofErr w:type="spellStart"/>
      <w:r w:rsidRPr="00BD2B90">
        <w:rPr>
          <w:rFonts w:ascii="Times New Roman" w:hAnsi="Times New Roman"/>
          <w:sz w:val="24"/>
          <w:szCs w:val="24"/>
        </w:rPr>
        <w:t>далі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– Закон), Порядку </w:t>
      </w:r>
      <w:proofErr w:type="spellStart"/>
      <w:r w:rsidRPr="00BD2B90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D2B90">
        <w:rPr>
          <w:rFonts w:ascii="Times New Roman" w:hAnsi="Times New Roman"/>
          <w:sz w:val="24"/>
          <w:szCs w:val="24"/>
        </w:rPr>
        <w:t>оренду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державного та </w:t>
      </w:r>
      <w:proofErr w:type="spellStart"/>
      <w:r w:rsidRPr="00BD2B90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 w:rsidRPr="00BD2B90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постановою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від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03.06.2020 № 483 (</w:t>
      </w:r>
      <w:proofErr w:type="spellStart"/>
      <w:r w:rsidRPr="00BD2B90">
        <w:rPr>
          <w:rFonts w:ascii="Times New Roman" w:hAnsi="Times New Roman"/>
          <w:sz w:val="24"/>
          <w:szCs w:val="24"/>
        </w:rPr>
        <w:t>далі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– Порядок), з метою </w:t>
      </w:r>
      <w:proofErr w:type="spellStart"/>
      <w:r w:rsidRPr="00BD2B90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єдиного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організаційно-економічного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механізму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B90">
        <w:rPr>
          <w:rFonts w:ascii="Times New Roman" w:hAnsi="Times New Roman"/>
          <w:sz w:val="24"/>
          <w:szCs w:val="24"/>
        </w:rPr>
        <w:t>розрахунку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 w:rsidRPr="00BD2B90">
        <w:rPr>
          <w:rFonts w:ascii="Times New Roman" w:hAnsi="Times New Roman"/>
          <w:sz w:val="24"/>
          <w:szCs w:val="24"/>
        </w:rPr>
        <w:t>оренду</w:t>
      </w:r>
      <w:proofErr w:type="spellEnd"/>
      <w:r w:rsidRPr="00BD2B90">
        <w:rPr>
          <w:rFonts w:ascii="Times New Roman" w:hAnsi="Times New Roman"/>
          <w:sz w:val="24"/>
          <w:szCs w:val="24"/>
        </w:rPr>
        <w:t xml:space="preserve">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майна, яке знаходиться на балансі  </w:t>
      </w:r>
      <w:r w:rsidR="007D5F7F" w:rsidRPr="00BD2B90">
        <w:rPr>
          <w:rFonts w:ascii="Times New Roman" w:hAnsi="Times New Roman"/>
          <w:sz w:val="24"/>
          <w:szCs w:val="24"/>
          <w:lang w:val="uk-UA"/>
        </w:rPr>
        <w:t xml:space="preserve">комунальних некомерційних  підприємств, </w:t>
      </w:r>
      <w:r w:rsidR="000D0932" w:rsidRPr="00BD2B90">
        <w:rPr>
          <w:rFonts w:ascii="Times New Roman" w:hAnsi="Times New Roman"/>
          <w:sz w:val="24"/>
          <w:szCs w:val="24"/>
          <w:lang w:val="uk-UA"/>
        </w:rPr>
        <w:t xml:space="preserve">комунальних підприємств,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установ, організацій щодо </w:t>
      </w:r>
      <w:r w:rsidRPr="00BD2B90">
        <w:rPr>
          <w:rFonts w:ascii="Times New Roman" w:hAnsi="Times New Roman"/>
          <w:sz w:val="24"/>
          <w:szCs w:val="24"/>
          <w:shd w:val="clear" w:color="auto" w:fill="FFFFFF"/>
        </w:rPr>
        <w:t>майн</w:t>
      </w:r>
      <w:r w:rsidRPr="00BD2B9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а, визначеного п.1 ст.3 Закону України «Про оренду державного та комунального майна».</w:t>
      </w:r>
    </w:p>
    <w:p w14:paraId="4813C382" w14:textId="77777777" w:rsidR="00324975" w:rsidRPr="00BD2B90" w:rsidRDefault="00E84182" w:rsidP="003C12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</w:t>
      </w:r>
      <w:r w:rsidR="000633AE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="003E715C">
        <w:rPr>
          <w:rFonts w:ascii="Times New Roman" w:eastAsia="Times New Roman" w:hAnsi="Times New Roman"/>
          <w:sz w:val="24"/>
          <w:szCs w:val="24"/>
          <w:lang w:val="uk-UA" w:eastAsia="ru-RU"/>
        </w:rPr>
        <w:t>О</w:t>
      </w:r>
      <w:r w:rsidR="00324975" w:rsidRPr="00BD2B90">
        <w:rPr>
          <w:rFonts w:ascii="Times New Roman" w:hAnsi="Times New Roman"/>
          <w:sz w:val="24"/>
          <w:szCs w:val="24"/>
          <w:lang w:val="uk-UA"/>
        </w:rPr>
        <w:t>рендодаве</w:t>
      </w:r>
      <w:r w:rsidR="003E715C">
        <w:rPr>
          <w:rFonts w:ascii="Times New Roman" w:hAnsi="Times New Roman"/>
          <w:sz w:val="24"/>
          <w:szCs w:val="24"/>
          <w:lang w:val="uk-UA"/>
        </w:rPr>
        <w:t>ць</w:t>
      </w:r>
      <w:r w:rsidR="00324975" w:rsidRPr="00BD2B90">
        <w:rPr>
          <w:rFonts w:ascii="Times New Roman" w:hAnsi="Times New Roman"/>
          <w:sz w:val="24"/>
          <w:szCs w:val="24"/>
          <w:lang w:val="uk-UA"/>
        </w:rPr>
        <w:t xml:space="preserve"> нерухомого майна або іншого індивідуально визначеного майна </w:t>
      </w:r>
      <w:r w:rsidR="003E715C">
        <w:rPr>
          <w:rFonts w:ascii="Times New Roman" w:hAnsi="Times New Roman"/>
          <w:sz w:val="24"/>
          <w:szCs w:val="24"/>
          <w:lang w:val="uk-UA"/>
        </w:rPr>
        <w:t xml:space="preserve">під час визначення </w:t>
      </w:r>
      <w:r w:rsidR="00324975" w:rsidRPr="00BD2B90">
        <w:rPr>
          <w:rFonts w:ascii="Times New Roman" w:hAnsi="Times New Roman"/>
          <w:sz w:val="24"/>
          <w:szCs w:val="24"/>
          <w:lang w:val="uk-UA"/>
        </w:rPr>
        <w:t>розмір</w:t>
      </w:r>
      <w:r w:rsidR="003E715C">
        <w:rPr>
          <w:rFonts w:ascii="Times New Roman" w:hAnsi="Times New Roman"/>
          <w:sz w:val="24"/>
          <w:szCs w:val="24"/>
          <w:lang w:val="uk-UA"/>
        </w:rPr>
        <w:t>у</w:t>
      </w:r>
      <w:r w:rsidR="00324975" w:rsidRPr="00BD2B90">
        <w:rPr>
          <w:rFonts w:ascii="Times New Roman" w:hAnsi="Times New Roman"/>
          <w:sz w:val="24"/>
          <w:szCs w:val="24"/>
          <w:lang w:val="uk-UA"/>
        </w:rPr>
        <w:t xml:space="preserve"> орендної плати</w:t>
      </w:r>
      <w:r w:rsidR="003E715C">
        <w:rPr>
          <w:rFonts w:ascii="Times New Roman" w:hAnsi="Times New Roman"/>
          <w:sz w:val="24"/>
          <w:szCs w:val="24"/>
          <w:lang w:val="uk-UA"/>
        </w:rPr>
        <w:t xml:space="preserve"> керується Законом України «Про оренду державного та комунального майна», постановою Кабінету Міністрів України «</w:t>
      </w:r>
      <w:r w:rsidR="003E715C" w:rsidRPr="003E715C">
        <w:rPr>
          <w:rFonts w:ascii="Times New Roman" w:hAnsi="Times New Roman"/>
          <w:sz w:val="24"/>
          <w:szCs w:val="24"/>
          <w:lang w:val="uk-UA"/>
        </w:rPr>
        <w:t>Деякі питання оренди державного та комунального майна</w:t>
      </w:r>
      <w:r w:rsidR="003E715C">
        <w:rPr>
          <w:rFonts w:ascii="Times New Roman" w:hAnsi="Times New Roman"/>
          <w:sz w:val="24"/>
          <w:szCs w:val="24"/>
          <w:lang w:val="uk-UA"/>
        </w:rPr>
        <w:t>»</w:t>
      </w:r>
      <w:r w:rsidR="003E715C" w:rsidRPr="003E715C">
        <w:rPr>
          <w:lang w:val="uk-UA"/>
        </w:rPr>
        <w:t xml:space="preserve"> </w:t>
      </w:r>
      <w:r w:rsidR="003E715C" w:rsidRPr="003E715C">
        <w:rPr>
          <w:rFonts w:ascii="Times New Roman" w:hAnsi="Times New Roman"/>
          <w:sz w:val="24"/>
          <w:szCs w:val="24"/>
          <w:lang w:val="uk-UA"/>
        </w:rPr>
        <w:t>від 3 червня 2020 р. № 483</w:t>
      </w:r>
      <w:r w:rsidR="003E715C">
        <w:rPr>
          <w:rFonts w:ascii="Times New Roman" w:hAnsi="Times New Roman"/>
          <w:sz w:val="24"/>
          <w:szCs w:val="24"/>
          <w:lang w:val="uk-UA"/>
        </w:rPr>
        <w:t xml:space="preserve">, рішенням Чорноморської міської ради Одеського району Одеської області. </w:t>
      </w:r>
    </w:p>
    <w:p w14:paraId="394039DA" w14:textId="77777777" w:rsidR="000633AE" w:rsidRPr="00BD2B90" w:rsidRDefault="00492DE3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n13"/>
      <w:bookmarkStart w:id="2" w:name="n14"/>
      <w:bookmarkStart w:id="3" w:name="n15"/>
      <w:bookmarkStart w:id="4" w:name="n16"/>
      <w:bookmarkEnd w:id="1"/>
      <w:bookmarkEnd w:id="2"/>
      <w:bookmarkEnd w:id="3"/>
      <w:bookmarkEnd w:id="4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До плати за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іншого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окремого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індивідуально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не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включаються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витрати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утримання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орендованого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та плата за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послуги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укладеного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зобов’язується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надавати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орендарю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балансоутримувач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FF8420D" w14:textId="77777777" w:rsidR="000633AE" w:rsidRPr="00BD2B90" w:rsidRDefault="0032349B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n17"/>
      <w:bookmarkEnd w:id="5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Відшкодування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витрат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балансоутримувача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утримання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орендованого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</w:t>
      </w:r>
      <w:r w:rsidR="000A3EA4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proofErr w:type="gramStart"/>
      <w:r w:rsidR="000A3EA4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у тому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числі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місць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загального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користування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прибудинкової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території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) та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комунальних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послуг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орендарю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здійснюється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договору,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укладеного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між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балансоутримувачем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орендарем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53F66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враховуючи норми законодавства. У разі необхідності можливо застосовувати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примірн</w:t>
      </w:r>
      <w:proofErr w:type="spellEnd"/>
      <w:r w:rsidR="00453F66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</w:t>
      </w:r>
      <w:r w:rsidR="00453F66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у договору,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затвердж</w:t>
      </w:r>
      <w:r w:rsidR="00453F66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еного</w:t>
      </w:r>
      <w:proofErr w:type="spellEnd"/>
      <w:r w:rsidR="00453F66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Фондом державного майна</w:t>
      </w: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20ACF1B" w14:textId="77777777" w:rsidR="000633AE" w:rsidRPr="00BD2B90" w:rsidRDefault="0032349B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6" w:name="n18"/>
      <w:bookmarkEnd w:id="6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У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нерухомого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(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крім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нерухомого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орендарями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зазначеними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 </w:t>
      </w:r>
      <w:r w:rsidR="00B834C9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пункті </w:t>
      </w:r>
      <w:proofErr w:type="gramStart"/>
      <w:r w:rsidR="00B834C9" w:rsidRPr="00816D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10 </w:t>
      </w:r>
      <w:r w:rsidR="000633AE" w:rsidRPr="00816DC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="000633AE" w:rsidRPr="00816DCE">
        <w:rPr>
          <w:rFonts w:ascii="Times New Roman" w:eastAsia="Times New Roman" w:hAnsi="Times New Roman"/>
          <w:sz w:val="24"/>
          <w:szCs w:val="24"/>
          <w:lang w:eastAsia="ru-RU"/>
        </w:rPr>
        <w:t>цієї</w:t>
      </w:r>
      <w:proofErr w:type="spellEnd"/>
      <w:proofErr w:type="gram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Методики) та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іншого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окремого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індивідуально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річної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визначається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формулою:</w:t>
      </w:r>
    </w:p>
    <w:tbl>
      <w:tblPr>
        <w:tblW w:w="0" w:type="auto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0"/>
        <w:gridCol w:w="256"/>
        <w:gridCol w:w="3060"/>
      </w:tblGrid>
      <w:tr w:rsidR="00D21BD4" w:rsidRPr="00BD2B90" w14:paraId="51F09287" w14:textId="77777777" w:rsidTr="00FA5B18">
        <w:trPr>
          <w:jc w:val="center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0552" w14:textId="77777777" w:rsidR="00D21BD4" w:rsidRPr="00BD2B90" w:rsidRDefault="00D21BD4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CB58" w14:textId="77777777" w:rsidR="00D21BD4" w:rsidRPr="00BD2B90" w:rsidRDefault="00D21BD4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BD6B" w14:textId="77777777" w:rsidR="00D21BD4" w:rsidRPr="00BD2B90" w:rsidRDefault="00D21BD4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2B90">
              <w:rPr>
                <w:rFonts w:ascii="Times New Roman" w:hAnsi="Times New Roman"/>
                <w:sz w:val="24"/>
                <w:szCs w:val="24"/>
              </w:rPr>
              <w:t>В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</w:rPr>
              <w:t xml:space="preserve"> х С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ор</w:t>
            </w:r>
            <w:r w:rsidRPr="00BD2B90">
              <w:rPr>
                <w:rFonts w:ascii="Times New Roman" w:hAnsi="Times New Roman"/>
                <w:sz w:val="24"/>
                <w:szCs w:val="24"/>
              </w:rPr>
              <w:br/>
              <w:t>________________________,</w:t>
            </w:r>
            <w:r w:rsidRPr="00BD2B90">
              <w:rPr>
                <w:rFonts w:ascii="Times New Roman" w:hAnsi="Times New Roman"/>
                <w:sz w:val="24"/>
                <w:szCs w:val="24"/>
              </w:rPr>
              <w:br/>
            </w:r>
            <w:r w:rsidR="00FA5B18"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</w:t>
            </w:r>
            <w:r w:rsidRPr="00BD2B9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15322B06" w14:textId="77777777" w:rsidR="00D21BD4" w:rsidRPr="00BD2B90" w:rsidRDefault="0023008F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де</w:t>
      </w:r>
      <w:r w:rsidRPr="00BD2B9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</w:p>
    <w:tbl>
      <w:tblPr>
        <w:tblW w:w="473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6"/>
        <w:gridCol w:w="7723"/>
      </w:tblGrid>
      <w:tr w:rsidR="00CB72D7" w:rsidRPr="00BD2B90" w14:paraId="0AD926DE" w14:textId="77777777" w:rsidTr="00CB72D7">
        <w:trPr>
          <w:jc w:val="center"/>
        </w:trPr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A940D3" w14:textId="77777777" w:rsidR="000633AE" w:rsidRPr="00BD2B90" w:rsidRDefault="00CB72D7" w:rsidP="003C12B2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7" w:name="n226"/>
            <w:bookmarkStart w:id="8" w:name="n228"/>
            <w:bookmarkEnd w:id="7"/>
            <w:bookmarkEnd w:id="8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</w:p>
        </w:tc>
        <w:tc>
          <w:tcPr>
            <w:tcW w:w="7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28A89B" w14:textId="77777777" w:rsidR="000633AE" w:rsidRPr="00BD2B90" w:rsidRDefault="00CB72D7" w:rsidP="003C1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розмір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річної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плати,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гривень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CB72D7" w:rsidRPr="00BD2B90" w14:paraId="7D5B4556" w14:textId="77777777" w:rsidTr="00CB72D7">
        <w:trPr>
          <w:jc w:val="center"/>
        </w:trPr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B4BCFC" w14:textId="77777777" w:rsidR="00CB72D7" w:rsidRPr="00BD2B90" w:rsidRDefault="00CB72D7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</w:rPr>
              <w:t>В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proofErr w:type="spellEnd"/>
          </w:p>
        </w:tc>
        <w:tc>
          <w:tcPr>
            <w:tcW w:w="7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C2DB12" w14:textId="77777777" w:rsidR="000633AE" w:rsidRPr="00BD2B90" w:rsidRDefault="00CB72D7" w:rsidP="003C1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орендованого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майна,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визначена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(без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урахування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додану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гривень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CB72D7" w:rsidRPr="00BD2B90" w14:paraId="388447CE" w14:textId="77777777" w:rsidTr="00CB72D7">
        <w:trPr>
          <w:jc w:val="center"/>
        </w:trPr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7FE190" w14:textId="77777777" w:rsidR="00CB72D7" w:rsidRPr="001D082B" w:rsidRDefault="00CB72D7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8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1D082B">
              <w:rPr>
                <w:rFonts w:ascii="Times New Roman" w:hAnsi="Times New Roman"/>
                <w:sz w:val="24"/>
                <w:szCs w:val="24"/>
              </w:rPr>
              <w:t>С</w:t>
            </w:r>
            <w:r w:rsidRPr="001D082B">
              <w:rPr>
                <w:rFonts w:ascii="Times New Roman" w:hAnsi="Times New Roman"/>
                <w:sz w:val="24"/>
                <w:szCs w:val="24"/>
                <w:vertAlign w:val="subscript"/>
              </w:rPr>
              <w:t>ор</w:t>
            </w:r>
          </w:p>
        </w:tc>
        <w:tc>
          <w:tcPr>
            <w:tcW w:w="7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FD2BC1" w14:textId="77777777" w:rsidR="000633AE" w:rsidRPr="001D082B" w:rsidRDefault="00CB72D7" w:rsidP="003C1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орендна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ставка,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визначена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 </w:t>
            </w:r>
            <w:r w:rsidR="007A0A0F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911FE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розділом 1.1. додатку </w:t>
            </w:r>
            <w:r w:rsidR="007A0A0F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до Методики </w:t>
            </w: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(у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разі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договору з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орендарем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 </w:t>
            </w:r>
            <w:proofErr w:type="spellStart"/>
            <w:r w:rsidR="0019240B">
              <w:fldChar w:fldCharType="begin"/>
            </w:r>
            <w:r w:rsidR="0019240B">
              <w:instrText xml:space="preserve"> HYPERLINK "https://zakon.rada.gov.ua/laws/show/157-20" \l "n299" \t "_blank" </w:instrText>
            </w:r>
            <w:r w:rsidR="0019240B">
              <w:fldChar w:fldCharType="separate"/>
            </w: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</w:t>
            </w:r>
            <w:r w:rsidR="00192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Закону)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A0A0F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згідно </w:t>
            </w:r>
            <w:r w:rsidR="005911FE"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 </w:t>
            </w:r>
            <w:r w:rsidR="005911FE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розділом 1.2. додатку   до </w:t>
            </w:r>
            <w:r w:rsidR="00091E59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Методики </w:t>
            </w:r>
            <w:r w:rsidR="00091E59"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(для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договорів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продовжуються</w:t>
            </w:r>
            <w:proofErr w:type="spellEnd"/>
            <w:r w:rsidR="00091E59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вперше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DA3628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28533D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пунком</w:t>
            </w:r>
            <w:proofErr w:type="spellEnd"/>
            <w:r w:rsidR="0028533D" w:rsidRPr="001D08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11</w:t>
            </w:r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цієї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Методики для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окремого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визначеного</w:t>
            </w:r>
            <w:proofErr w:type="spellEnd"/>
            <w:r w:rsidRPr="001D0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майна.</w:t>
            </w:r>
          </w:p>
        </w:tc>
      </w:tr>
    </w:tbl>
    <w:p w14:paraId="45C3889F" w14:textId="77777777" w:rsidR="003D21BA" w:rsidRPr="00BD2B90" w:rsidRDefault="003D21BA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9" w:name="n24"/>
      <w:bookmarkEnd w:id="9"/>
    </w:p>
    <w:p w14:paraId="795D0CFB" w14:textId="77777777" w:rsidR="000633AE" w:rsidRPr="00BD2B90" w:rsidRDefault="008749BA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6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нерухомого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іншого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окремого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індивідуально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визначеного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визначається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формулою:</w:t>
      </w:r>
    </w:p>
    <w:tbl>
      <w:tblPr>
        <w:tblW w:w="0" w:type="auto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0"/>
        <w:gridCol w:w="256"/>
        <w:gridCol w:w="2012"/>
      </w:tblGrid>
      <w:tr w:rsidR="006E4D27" w:rsidRPr="00BD2B90" w14:paraId="0D49A8F6" w14:textId="77777777" w:rsidTr="006A1447">
        <w:trPr>
          <w:jc w:val="center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F57E" w14:textId="77777777" w:rsidR="006E4D27" w:rsidRPr="00BD2B90" w:rsidRDefault="006E4D27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="006963EC"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 міс</w:t>
            </w:r>
            <w:r w:rsidR="006963EC"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</w:t>
            </w: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A36F" w14:textId="77777777" w:rsidR="006E4D27" w:rsidRPr="00BD2B90" w:rsidRDefault="006E4D27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D029" w14:textId="77777777" w:rsidR="006E4D27" w:rsidRPr="00BD2B90" w:rsidRDefault="006E4D27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 w:rsidRPr="00BD2B90">
              <w:rPr>
                <w:rFonts w:ascii="Times New Roman" w:hAnsi="Times New Roman"/>
                <w:sz w:val="24"/>
                <w:szCs w:val="24"/>
              </w:rPr>
              <w:t>_____________,</w:t>
            </w:r>
            <w:r w:rsidRPr="00BD2B90">
              <w:rPr>
                <w:rFonts w:ascii="Times New Roman" w:hAnsi="Times New Roman"/>
                <w:sz w:val="24"/>
                <w:szCs w:val="24"/>
              </w:rPr>
              <w:br/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BD2B90">
              <w:rPr>
                <w:rFonts w:ascii="Times New Roman" w:hAnsi="Times New Roman"/>
                <w:sz w:val="24"/>
                <w:szCs w:val="24"/>
              </w:rPr>
              <w:t>1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</w:tbl>
    <w:p w14:paraId="5DE3A6C7" w14:textId="77777777" w:rsidR="007E3DFD" w:rsidRPr="00BD2B90" w:rsidRDefault="007E3DF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де</w:t>
      </w:r>
      <w:r w:rsidRPr="00BD2B9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</w:p>
    <w:tbl>
      <w:tblPr>
        <w:tblW w:w="45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7502"/>
      </w:tblGrid>
      <w:tr w:rsidR="00E17F64" w:rsidRPr="00BD2B90" w14:paraId="717F8536" w14:textId="77777777" w:rsidTr="00296FD5">
        <w:trPr>
          <w:trHeight w:val="881"/>
          <w:jc w:val="center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821017" w14:textId="77777777" w:rsidR="00E17F64" w:rsidRPr="00BD2B90" w:rsidRDefault="00E17F64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10" w:name="n25"/>
            <w:bookmarkStart w:id="11" w:name="n230"/>
            <w:bookmarkEnd w:id="10"/>
            <w:bookmarkEnd w:id="11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 міс</w:t>
            </w:r>
          </w:p>
          <w:p w14:paraId="75AFF621" w14:textId="77777777" w:rsidR="000633AE" w:rsidRPr="00BD2B90" w:rsidRDefault="000633AE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823D88" w14:textId="77777777" w:rsidR="000633AE" w:rsidRPr="00BD2B90" w:rsidRDefault="00E17F64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розмір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місячної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плати,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гривень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4265DBB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n27"/>
      <w:bookmarkEnd w:id="12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між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датою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і датою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підписання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приймання-передачі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минуло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більше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ніж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один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повний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календарний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перший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встановлюється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коригування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індекс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інфляції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місяцях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минули з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дати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EE6A52E" w14:textId="77777777" w:rsidR="000633AE" w:rsidRPr="00BD2B90" w:rsidRDefault="001751BC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3" w:name="n28"/>
      <w:bookmarkEnd w:id="13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добової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розраховується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основі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місячної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розрахунку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кількості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фактичного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користування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формулою:</w:t>
      </w:r>
    </w:p>
    <w:tbl>
      <w:tblPr>
        <w:tblW w:w="0" w:type="auto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0"/>
        <w:gridCol w:w="256"/>
        <w:gridCol w:w="2012"/>
      </w:tblGrid>
      <w:tr w:rsidR="006963EC" w:rsidRPr="00BD2B90" w14:paraId="662360A2" w14:textId="77777777" w:rsidTr="006A1447">
        <w:trPr>
          <w:jc w:val="center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8BCF" w14:textId="77777777" w:rsidR="006963EC" w:rsidRPr="00BD2B90" w:rsidRDefault="006963EC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. </w:t>
            </w:r>
            <w:proofErr w:type="spellStart"/>
            <w:r w:rsidR="006D7D25"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доб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</w:t>
            </w: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6395" w14:textId="77777777" w:rsidR="006963EC" w:rsidRPr="00BD2B90" w:rsidRDefault="006963EC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2DBD" w14:textId="77777777" w:rsidR="006963EC" w:rsidRPr="00BD2B90" w:rsidRDefault="006963EC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 w:rsidRPr="00BD2B90">
              <w:rPr>
                <w:rFonts w:ascii="Times New Roman" w:hAnsi="Times New Roman"/>
                <w:sz w:val="24"/>
                <w:szCs w:val="24"/>
              </w:rPr>
              <w:t>_____________,</w:t>
            </w:r>
            <w:r w:rsidRPr="00BD2B90">
              <w:rPr>
                <w:rFonts w:ascii="Times New Roman" w:hAnsi="Times New Roman"/>
                <w:sz w:val="24"/>
                <w:szCs w:val="24"/>
              </w:rPr>
              <w:br/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12*Х</w:t>
            </w:r>
          </w:p>
        </w:tc>
      </w:tr>
    </w:tbl>
    <w:p w14:paraId="763F10CC" w14:textId="77777777" w:rsidR="007E3DFD" w:rsidRPr="00BD2B90" w:rsidRDefault="007E3DF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де</w:t>
      </w:r>
      <w:r w:rsidRPr="00BD2B9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</w:p>
    <w:tbl>
      <w:tblPr>
        <w:tblW w:w="463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7537"/>
      </w:tblGrid>
      <w:tr w:rsidR="006D7D25" w:rsidRPr="00BD2B90" w14:paraId="00EFC29A" w14:textId="77777777" w:rsidTr="00296FD5">
        <w:trPr>
          <w:jc w:val="center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745C2A" w14:textId="77777777" w:rsidR="000633AE" w:rsidRPr="00BD2B90" w:rsidRDefault="006D7D25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4" w:name="n29"/>
            <w:bookmarkStart w:id="15" w:name="n232"/>
            <w:bookmarkEnd w:id="14"/>
            <w:bookmarkEnd w:id="15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.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доб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</w:t>
            </w:r>
          </w:p>
        </w:tc>
        <w:tc>
          <w:tcPr>
            <w:tcW w:w="7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00B36A" w14:textId="77777777" w:rsidR="000633AE" w:rsidRPr="00BD2B90" w:rsidRDefault="006D7D25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розмір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добової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плати,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гривень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6D7D25" w:rsidRPr="00BD2B90" w14:paraId="38D97DD0" w14:textId="77777777" w:rsidTr="00296FD5">
        <w:trPr>
          <w:jc w:val="center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909404D" w14:textId="77777777" w:rsidR="000633AE" w:rsidRPr="00BD2B90" w:rsidRDefault="006D7D25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F47FD9" w14:textId="77777777" w:rsidR="000633AE" w:rsidRPr="00BD2B90" w:rsidRDefault="006D7D25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днів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місяці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фактичного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ABC6BC8" w14:textId="77777777" w:rsidR="000633AE" w:rsidRPr="00BD2B90" w:rsidRDefault="008D27AF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6" w:name="n32"/>
      <w:bookmarkEnd w:id="16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погодинної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об’єкт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розраховується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основі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добової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розрахунку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24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години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добу за формулою:</w:t>
      </w:r>
    </w:p>
    <w:p w14:paraId="797F9B9D" w14:textId="77777777" w:rsidR="005F36D4" w:rsidRPr="00BD2B90" w:rsidRDefault="005F36D4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0"/>
        <w:gridCol w:w="256"/>
        <w:gridCol w:w="2012"/>
      </w:tblGrid>
      <w:tr w:rsidR="008D27AF" w:rsidRPr="00BD2B90" w14:paraId="56757C6A" w14:textId="77777777" w:rsidTr="006A1447">
        <w:trPr>
          <w:jc w:val="center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CC93" w14:textId="77777777" w:rsidR="008D27AF" w:rsidRPr="00BD2B90" w:rsidRDefault="008D27AF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. </w:t>
            </w:r>
            <w:r w:rsidR="00023FBE"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год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</w:t>
            </w: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E4AB" w14:textId="77777777" w:rsidR="008D27AF" w:rsidRPr="00BD2B90" w:rsidRDefault="008D27AF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B90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2F9C" w14:textId="77777777" w:rsidR="008D27AF" w:rsidRPr="00BD2B90" w:rsidRDefault="008D27AF" w:rsidP="003C1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 w:rsidRPr="00BD2B90">
              <w:rPr>
                <w:rFonts w:ascii="Times New Roman" w:hAnsi="Times New Roman"/>
                <w:sz w:val="24"/>
                <w:szCs w:val="24"/>
              </w:rPr>
              <w:t>_____________,</w:t>
            </w:r>
            <w:r w:rsidRPr="00BD2B90">
              <w:rPr>
                <w:rFonts w:ascii="Times New Roman" w:hAnsi="Times New Roman"/>
                <w:sz w:val="24"/>
                <w:szCs w:val="24"/>
              </w:rPr>
              <w:br/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12*Х</w:t>
            </w:r>
            <w:r w:rsidR="00023FBE" w:rsidRPr="00BD2B90">
              <w:rPr>
                <w:rFonts w:ascii="Times New Roman" w:hAnsi="Times New Roman"/>
                <w:sz w:val="24"/>
                <w:szCs w:val="24"/>
                <w:lang w:val="uk-UA"/>
              </w:rPr>
              <w:t>*24</w:t>
            </w:r>
          </w:p>
        </w:tc>
      </w:tr>
    </w:tbl>
    <w:p w14:paraId="7432DB60" w14:textId="77777777" w:rsidR="005F36D4" w:rsidRPr="00BD2B90" w:rsidRDefault="005F36D4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E16EF27" w14:textId="77777777" w:rsidR="007E3DFD" w:rsidRPr="00BD2B90" w:rsidRDefault="007E3DF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де</w:t>
      </w:r>
      <w:r w:rsidRPr="00BD2B9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</w:p>
    <w:tbl>
      <w:tblPr>
        <w:tblW w:w="473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7711"/>
      </w:tblGrid>
      <w:tr w:rsidR="00D4642B" w:rsidRPr="00BD2B90" w14:paraId="0F9B5E16" w14:textId="77777777" w:rsidTr="007E3DFD">
        <w:trPr>
          <w:jc w:val="center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E19FFB" w14:textId="77777777" w:rsidR="000633AE" w:rsidRPr="00BD2B90" w:rsidRDefault="00D4642B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7" w:name="n33"/>
            <w:bookmarkStart w:id="18" w:name="n234"/>
            <w:bookmarkEnd w:id="17"/>
            <w:bookmarkEnd w:id="18"/>
            <w:r w:rsidRPr="00BD2B90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proofErr w:type="spellEnd"/>
            <w:r w:rsidRPr="00BD2B90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. год.</w:t>
            </w:r>
          </w:p>
        </w:tc>
        <w:tc>
          <w:tcPr>
            <w:tcW w:w="7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C340D7" w14:textId="77777777" w:rsidR="000633AE" w:rsidRPr="00BD2B90" w:rsidRDefault="00D4642B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розмір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погодинної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плати;</w:t>
            </w:r>
          </w:p>
        </w:tc>
      </w:tr>
      <w:tr w:rsidR="00D4642B" w:rsidRPr="00BD2B90" w14:paraId="74FBA62C" w14:textId="77777777" w:rsidTr="007E3DFD">
        <w:trPr>
          <w:jc w:val="center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752DA2" w14:textId="77777777" w:rsidR="000633AE" w:rsidRPr="00BD2B90" w:rsidRDefault="00D4642B" w:rsidP="003C1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64902B" w14:textId="77777777" w:rsidR="000633AE" w:rsidRPr="00BD2B90" w:rsidRDefault="00D4642B" w:rsidP="003C1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днів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місяці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фактичного </w:t>
            </w:r>
            <w:proofErr w:type="spellStart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D2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7522DD0B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n36"/>
      <w:bookmarkEnd w:id="19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погодинна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припадає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вихідний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святковий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день,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такі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дні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нараховується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повну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добу.</w:t>
      </w:r>
    </w:p>
    <w:p w14:paraId="5586E0F6" w14:textId="77777777" w:rsidR="000633AE" w:rsidRPr="00BD2B90" w:rsidRDefault="004801A8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n37"/>
      <w:bookmarkStart w:id="21" w:name="n46"/>
      <w:bookmarkStart w:id="22" w:name="n47"/>
      <w:bookmarkStart w:id="23" w:name="n48"/>
      <w:bookmarkEnd w:id="20"/>
      <w:bookmarkEnd w:id="21"/>
      <w:bookmarkEnd w:id="22"/>
      <w:bookmarkEnd w:id="23"/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Результати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незалежної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оцінки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чинні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протягом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12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місяців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дати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оцінки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якщо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інший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 не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передбачено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звіті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>оцінку</w:t>
      </w:r>
      <w:proofErr w:type="spellEnd"/>
      <w:r w:rsidR="000633AE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майна.</w:t>
      </w:r>
    </w:p>
    <w:p w14:paraId="327121D9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4" w:name="n49"/>
      <w:bookmarkEnd w:id="24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801A8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Річна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нерухомого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1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гривні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встановлюється</w:t>
      </w:r>
      <w:proofErr w:type="spellEnd"/>
      <w:r w:rsidR="00FF3371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gramStart"/>
      <w:r w:rsidR="00FF3371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таким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5EED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орендарям</w:t>
      </w:r>
      <w:proofErr w:type="spellEnd"/>
      <w:proofErr w:type="gramEnd"/>
      <w:r w:rsidR="00FF3371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265EED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392C4B90" w14:textId="77777777" w:rsidR="007F1F80" w:rsidRPr="00BD2B90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5" w:name="n50"/>
      <w:bookmarkStart w:id="26" w:name="n57"/>
      <w:bookmarkStart w:id="27" w:name="n62"/>
      <w:bookmarkEnd w:id="25"/>
      <w:bookmarkEnd w:id="26"/>
      <w:bookmarkEnd w:id="27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="007F1F80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о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рганам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державної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влади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іншим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бюджетним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організаціям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закладам,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установам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1F80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повністю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фінансуються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 державного</w:t>
      </w:r>
      <w:r w:rsidR="007F1F80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</w:t>
      </w:r>
      <w:r w:rsidR="007F1F80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35BA2F5" w14:textId="77777777" w:rsidR="007F1F80" w:rsidRPr="00BD2B90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- </w:t>
      </w:r>
      <w:r w:rsidR="007F1F80" w:rsidRPr="00BD2B9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азенним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підприємствам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утворилися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результаті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реорганізації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державного закладу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охорони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здоров’я</w:t>
      </w:r>
      <w:proofErr w:type="spellEnd"/>
      <w:r w:rsidR="007F1F80" w:rsidRPr="00BD2B90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1D87946E" w14:textId="77777777" w:rsidR="007F1F80" w:rsidRPr="00BD2B90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Національному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банку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майна, яке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було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закріплене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праві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господарського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відання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Національним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банком і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передане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сфери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управління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інших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державних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комунальну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власність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з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цільовим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функціональним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призначенням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зберігання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запасів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готівки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Національного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банку та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технологічних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процесів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готівкового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обігу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5560A83" w14:textId="77777777" w:rsidR="007F1F80" w:rsidRPr="00BD2B90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Пенсійному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органам;</w:t>
      </w:r>
    </w:p>
    <w:p w14:paraId="00DE3988" w14:textId="77777777" w:rsidR="007F1F80" w:rsidRDefault="00981FDD" w:rsidP="003C12B2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7D058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аціональним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художнім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колективам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яким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надається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фінансова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>підтримка</w:t>
      </w:r>
      <w:proofErr w:type="spellEnd"/>
      <w:r w:rsidR="007F1F80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 державного бюджету;</w:t>
      </w:r>
    </w:p>
    <w:p w14:paraId="6851C649" w14:textId="77777777" w:rsidR="009B6D5A" w:rsidRPr="00BD2B90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- с</w:t>
      </w:r>
      <w:r w:rsidR="009B6D5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труктурним підрозділам Чорноморської міської ради Одеського району Одеської області та її виконавчого комітету, а також установам, організаціям, засновником яких виступає Чорноморська міська рада Одеського району Одеської області, та  які повністю  фінансуються з  бюджету Чорноморської міської територіальної громади;</w:t>
      </w:r>
    </w:p>
    <w:p w14:paraId="2430BAFC" w14:textId="77777777" w:rsidR="00E66F59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8" w:name="n51"/>
      <w:bookmarkStart w:id="29" w:name="n52"/>
      <w:bookmarkEnd w:id="28"/>
      <w:bookmarkEnd w:id="29"/>
      <w:r>
        <w:rPr>
          <w:rFonts w:ascii="Times New Roman" w:hAnsi="Times New Roman"/>
          <w:sz w:val="24"/>
          <w:szCs w:val="24"/>
          <w:lang w:val="uk-UA"/>
        </w:rPr>
        <w:t>-</w:t>
      </w:r>
      <w:r w:rsidR="009B6D5A" w:rsidRPr="00BD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="009B6D5A" w:rsidRPr="00BD2B90">
        <w:rPr>
          <w:rFonts w:ascii="Times New Roman" w:hAnsi="Times New Roman"/>
          <w:sz w:val="24"/>
          <w:szCs w:val="24"/>
          <w:lang w:val="uk-UA"/>
        </w:rPr>
        <w:t>ромадським організаціям ветеранів війни (засновниками яких є або до складу  яких входять особи, що брали участь у захисті Батьківщини чи в бойових діях на території інших держав</w:t>
      </w:r>
      <w:bookmarkStart w:id="30" w:name="n41"/>
      <w:bookmarkEnd w:id="30"/>
      <w:r w:rsidR="009B6D5A" w:rsidRPr="00BD2B90">
        <w:rPr>
          <w:rFonts w:ascii="Times New Roman" w:hAnsi="Times New Roman"/>
          <w:sz w:val="24"/>
          <w:szCs w:val="24"/>
          <w:lang w:val="uk-UA"/>
        </w:rPr>
        <w:t xml:space="preserve">: учасники бойових дій, особи з інвалідністю внаслідок війни, учасники війни), у </w:t>
      </w:r>
      <w:proofErr w:type="spellStart"/>
      <w:r w:rsidR="009B6D5A" w:rsidRPr="00BD2B90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="009B6D5A" w:rsidRPr="00BD2B90">
        <w:rPr>
          <w:rFonts w:ascii="Times New Roman" w:hAnsi="Times New Roman"/>
          <w:sz w:val="24"/>
          <w:szCs w:val="24"/>
          <w:lang w:val="uk-UA"/>
        </w:rPr>
        <w:t>. ветерани  Афганістану та  воїни  АТО</w:t>
      </w:r>
      <w:r w:rsidR="009B6D5A" w:rsidRPr="00D46FF9">
        <w:rPr>
          <w:rFonts w:ascii="Times New Roman" w:hAnsi="Times New Roman"/>
          <w:sz w:val="24"/>
          <w:szCs w:val="24"/>
          <w:lang w:val="uk-UA"/>
        </w:rPr>
        <w:t xml:space="preserve"> (з урахуванням  ст</w:t>
      </w:r>
      <w:r w:rsidR="009B6D5A" w:rsidRPr="00BD2B90">
        <w:rPr>
          <w:rFonts w:ascii="Times New Roman" w:hAnsi="Times New Roman"/>
          <w:sz w:val="24"/>
          <w:szCs w:val="24"/>
          <w:lang w:val="uk-UA"/>
        </w:rPr>
        <w:t>.</w:t>
      </w:r>
      <w:r w:rsidR="009B6D5A">
        <w:rPr>
          <w:rFonts w:ascii="Times New Roman" w:hAnsi="Times New Roman"/>
          <w:sz w:val="24"/>
          <w:szCs w:val="24"/>
          <w:lang w:val="uk-UA"/>
        </w:rPr>
        <w:t xml:space="preserve"> 20 Закону України «Про статус ветеранів війні, гарантії їх соціального захисту») </w:t>
      </w:r>
      <w:r w:rsidR="00E66F59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7C821A07" w14:textId="77777777" w:rsidR="00DE6CBA" w:rsidRDefault="00981FDD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CD08D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="00DE6CBA" w:rsidRPr="00BD2B90">
        <w:rPr>
          <w:rFonts w:ascii="Times New Roman" w:hAnsi="Times New Roman"/>
          <w:sz w:val="24"/>
          <w:szCs w:val="24"/>
          <w:lang w:val="uk-UA"/>
        </w:rPr>
        <w:t>ромадським організаціям</w:t>
      </w:r>
      <w:r w:rsidR="00DE6CBA">
        <w:rPr>
          <w:rFonts w:ascii="Times New Roman" w:hAnsi="Times New Roman"/>
          <w:sz w:val="24"/>
          <w:szCs w:val="24"/>
          <w:lang w:val="uk-UA"/>
        </w:rPr>
        <w:t>, які здійснюють волонтерську діяльність</w:t>
      </w:r>
      <w:r w:rsidR="00DE6CB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62D7F7F" w14:textId="77777777" w:rsidR="00D51498" w:rsidRDefault="00981FDD" w:rsidP="00D5149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- к</w:t>
      </w:r>
      <w:proofErr w:type="spellStart"/>
      <w:r w:rsidR="009B6D5A" w:rsidRPr="00BD2B90">
        <w:rPr>
          <w:rFonts w:ascii="Times New Roman" w:eastAsia="Times New Roman" w:hAnsi="Times New Roman"/>
          <w:sz w:val="24"/>
          <w:szCs w:val="24"/>
          <w:lang w:eastAsia="ru-RU"/>
        </w:rPr>
        <w:t>омунальн</w:t>
      </w:r>
      <w:r w:rsidR="009B6D5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им</w:t>
      </w:r>
      <w:proofErr w:type="spellEnd"/>
      <w:r w:rsidR="009F7DE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установам та комунальним </w:t>
      </w:r>
      <w:r w:rsidR="009B6D5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некомерційним підприємствам, які здійснюють діяльність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9B6D5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сфері </w:t>
      </w:r>
      <w:r w:rsidR="009B6D5A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B6D5A" w:rsidRPr="00BD2B90">
        <w:rPr>
          <w:rFonts w:ascii="Times New Roman" w:eastAsia="Times New Roman" w:hAnsi="Times New Roman"/>
          <w:sz w:val="24"/>
          <w:szCs w:val="24"/>
          <w:lang w:eastAsia="ru-RU"/>
        </w:rPr>
        <w:t>охорони</w:t>
      </w:r>
      <w:proofErr w:type="spellEnd"/>
      <w:r w:rsidR="009B6D5A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B6D5A"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B6D5A" w:rsidRPr="00BD2B90">
        <w:rPr>
          <w:rFonts w:ascii="Times New Roman" w:eastAsia="Times New Roman" w:hAnsi="Times New Roman"/>
          <w:sz w:val="24"/>
          <w:szCs w:val="24"/>
          <w:lang w:eastAsia="ru-RU"/>
        </w:rPr>
        <w:t>здоров’я</w:t>
      </w:r>
      <w:proofErr w:type="spellEnd"/>
      <w:r w:rsidR="00FD2B65" w:rsidRPr="00FD2B6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A80F5D7" w14:textId="77777777" w:rsidR="00FD2B65" w:rsidRPr="00341510" w:rsidRDefault="00FD2B65" w:rsidP="00341510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="00341510" w:rsidRPr="00341510">
        <w:rPr>
          <w:rFonts w:ascii="Times New Roman" w:eastAsia="Times New Roman" w:hAnsi="Times New Roman"/>
          <w:sz w:val="24"/>
          <w:szCs w:val="24"/>
          <w:lang w:val="uk-UA" w:eastAsia="ru-RU"/>
        </w:rPr>
        <w:t>підприємства, установ</w:t>
      </w:r>
      <w:r w:rsidR="00341510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341510" w:rsidRPr="00341510">
        <w:rPr>
          <w:rFonts w:ascii="Times New Roman" w:eastAsia="Times New Roman" w:hAnsi="Times New Roman"/>
          <w:sz w:val="24"/>
          <w:szCs w:val="24"/>
          <w:lang w:val="uk-UA" w:eastAsia="ru-RU"/>
        </w:rPr>
        <w:t>, організаці</w:t>
      </w:r>
      <w:r w:rsidR="00341510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="00341510" w:rsidRPr="00341510">
        <w:rPr>
          <w:rFonts w:ascii="Times New Roman" w:eastAsia="Times New Roman" w:hAnsi="Times New Roman"/>
          <w:sz w:val="24"/>
          <w:szCs w:val="24"/>
          <w:lang w:val="uk-UA" w:eastAsia="ru-RU"/>
        </w:rPr>
        <w:t>, що надають соціально важливі послуги населенню, перелік яких визначається</w:t>
      </w:r>
      <w:r w:rsidR="003415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затверджується рішенням  Чорноморської міської  ради</w:t>
      </w:r>
      <w:r w:rsidR="00341510" w:rsidRPr="00341510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r w:rsidR="003161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0064169F" w14:textId="77777777" w:rsidR="002D6626" w:rsidRPr="00E66F59" w:rsidRDefault="002D6626" w:rsidP="002D6626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D6626">
        <w:rPr>
          <w:rFonts w:ascii="Times New Roman" w:eastAsia="Times New Roman" w:hAnsi="Times New Roman"/>
          <w:sz w:val="24"/>
          <w:szCs w:val="24"/>
          <w:lang w:val="uk-UA" w:eastAsia="ru-RU"/>
        </w:rPr>
        <w:t>- р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едакціям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державних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комунальних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періодичних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видань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повністю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частково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фінансуються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з державного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місцевих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бюджетів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заснованих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об’єднаннями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державними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науково-дослідними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установами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трудовими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журналістськими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колективами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також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реформованим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друкованим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засобам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масової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інформації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редакціям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до </w:t>
      </w:r>
      <w:hyperlink r:id="rId8" w:tgtFrame="_blank" w:history="1">
        <w:r w:rsidRPr="002D6626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Закону </w:t>
        </w:r>
        <w:proofErr w:type="spellStart"/>
        <w:r w:rsidRPr="002D6626">
          <w:rPr>
            <w:rFonts w:ascii="Times New Roman" w:eastAsia="Times New Roman" w:hAnsi="Times New Roman"/>
            <w:sz w:val="24"/>
            <w:szCs w:val="24"/>
            <w:lang w:eastAsia="ru-RU"/>
          </w:rPr>
          <w:t>України</w:t>
        </w:r>
        <w:proofErr w:type="spellEnd"/>
      </w:hyperlink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 “Про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реформування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державних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комунальних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друкованих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засобів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масової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інформації</w:t>
      </w:r>
      <w:proofErr w:type="spellEnd"/>
      <w:r w:rsidRPr="002D6626">
        <w:rPr>
          <w:rFonts w:ascii="Times New Roman" w:eastAsia="Times New Roman" w:hAnsi="Times New Roman"/>
          <w:sz w:val="24"/>
          <w:szCs w:val="24"/>
          <w:lang w:eastAsia="ru-RU"/>
        </w:rPr>
        <w:t>”.</w:t>
      </w:r>
    </w:p>
    <w:p w14:paraId="1AC47940" w14:textId="77777777" w:rsidR="007F1F80" w:rsidRPr="00BD2B90" w:rsidRDefault="007F1F80" w:rsidP="003C12B2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31" w:name="n53"/>
      <w:bookmarkEnd w:id="31"/>
      <w:proofErr w:type="spellStart"/>
      <w:r w:rsidRPr="00BD2B90">
        <w:t>Орендна</w:t>
      </w:r>
      <w:proofErr w:type="spellEnd"/>
      <w:r w:rsidRPr="00BD2B90">
        <w:t xml:space="preserve"> плата у </w:t>
      </w:r>
      <w:proofErr w:type="spellStart"/>
      <w:r w:rsidRPr="00BD2B90">
        <w:t>розмірі</w:t>
      </w:r>
      <w:proofErr w:type="spellEnd"/>
      <w:r w:rsidRPr="00BD2B90">
        <w:t xml:space="preserve"> 1 </w:t>
      </w:r>
      <w:proofErr w:type="spellStart"/>
      <w:r w:rsidRPr="00BD2B90">
        <w:t>гривні</w:t>
      </w:r>
      <w:proofErr w:type="spellEnd"/>
      <w:r w:rsidRPr="00BD2B90">
        <w:t xml:space="preserve"> для </w:t>
      </w:r>
      <w:proofErr w:type="spellStart"/>
      <w:r w:rsidRPr="00BD2B90">
        <w:t>орендарів</w:t>
      </w:r>
      <w:proofErr w:type="spellEnd"/>
      <w:r w:rsidRPr="00BD2B90">
        <w:t xml:space="preserve">, </w:t>
      </w:r>
      <w:proofErr w:type="spellStart"/>
      <w:r w:rsidRPr="00BD2B90">
        <w:t>зазначених</w:t>
      </w:r>
      <w:proofErr w:type="spellEnd"/>
      <w:r w:rsidRPr="00BD2B90">
        <w:t xml:space="preserve"> в </w:t>
      </w:r>
      <w:proofErr w:type="spellStart"/>
      <w:r w:rsidRPr="00BD2B90">
        <w:t>абзаці</w:t>
      </w:r>
      <w:proofErr w:type="spellEnd"/>
      <w:r w:rsidRPr="00BD2B90">
        <w:t xml:space="preserve"> </w:t>
      </w:r>
      <w:proofErr w:type="gramStart"/>
      <w:r w:rsidR="00294867">
        <w:rPr>
          <w:lang w:val="uk-UA"/>
        </w:rPr>
        <w:t>дв</w:t>
      </w:r>
      <w:r w:rsidR="009B7470">
        <w:rPr>
          <w:lang w:val="uk-UA"/>
        </w:rPr>
        <w:t>а</w:t>
      </w:r>
      <w:r w:rsidR="00294867">
        <w:rPr>
          <w:lang w:val="uk-UA"/>
        </w:rPr>
        <w:t>надцятому</w:t>
      </w:r>
      <w:r w:rsidR="002D6626">
        <w:rPr>
          <w:lang w:val="uk-UA"/>
        </w:rPr>
        <w:t xml:space="preserve"> </w:t>
      </w:r>
      <w:r w:rsidRPr="00BD2B90">
        <w:t xml:space="preserve"> </w:t>
      </w:r>
      <w:proofErr w:type="spellStart"/>
      <w:r w:rsidRPr="00BD2B90">
        <w:t>цього</w:t>
      </w:r>
      <w:proofErr w:type="spellEnd"/>
      <w:proofErr w:type="gramEnd"/>
      <w:r w:rsidRPr="00BD2B90">
        <w:t xml:space="preserve"> пункту, не </w:t>
      </w:r>
      <w:proofErr w:type="spellStart"/>
      <w:r w:rsidRPr="00BD2B90">
        <w:t>застосовується</w:t>
      </w:r>
      <w:proofErr w:type="spellEnd"/>
      <w:r w:rsidRPr="00BD2B90">
        <w:t xml:space="preserve"> у </w:t>
      </w:r>
      <w:proofErr w:type="spellStart"/>
      <w:r w:rsidRPr="00BD2B90">
        <w:t>разі</w:t>
      </w:r>
      <w:proofErr w:type="spellEnd"/>
      <w:r w:rsidRPr="00BD2B90">
        <w:t xml:space="preserve"> </w:t>
      </w:r>
      <w:proofErr w:type="spellStart"/>
      <w:r w:rsidRPr="00BD2B90">
        <w:t>оренди</w:t>
      </w:r>
      <w:proofErr w:type="spellEnd"/>
      <w:r w:rsidRPr="00BD2B90">
        <w:t xml:space="preserve"> </w:t>
      </w:r>
      <w:proofErr w:type="spellStart"/>
      <w:r w:rsidRPr="00BD2B90">
        <w:t>нерухомого</w:t>
      </w:r>
      <w:proofErr w:type="spellEnd"/>
      <w:r w:rsidRPr="00BD2B90">
        <w:t xml:space="preserve"> майна для </w:t>
      </w:r>
      <w:proofErr w:type="spellStart"/>
      <w:r w:rsidRPr="00BD2B90">
        <w:t>розміщення</w:t>
      </w:r>
      <w:proofErr w:type="spellEnd"/>
      <w:r w:rsidRPr="00BD2B90">
        <w:t xml:space="preserve"> </w:t>
      </w:r>
      <w:proofErr w:type="spellStart"/>
      <w:r w:rsidRPr="00BD2B90">
        <w:t>медіа</w:t>
      </w:r>
      <w:proofErr w:type="spellEnd"/>
      <w:r w:rsidRPr="00BD2B90">
        <w:t>:</w:t>
      </w:r>
    </w:p>
    <w:p w14:paraId="7E6C5B86" w14:textId="77777777" w:rsidR="007F1F80" w:rsidRPr="00BD2B90" w:rsidRDefault="00D51498" w:rsidP="003C12B2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>
        <w:rPr>
          <w:lang w:val="uk-UA"/>
        </w:rPr>
        <w:t xml:space="preserve">- </w:t>
      </w:r>
      <w:r w:rsidR="007F1F80" w:rsidRPr="00BD2B90">
        <w:t xml:space="preserve">рекламного та </w:t>
      </w:r>
      <w:proofErr w:type="spellStart"/>
      <w:r w:rsidR="007F1F80" w:rsidRPr="00BD2B90">
        <w:t>еротичного</w:t>
      </w:r>
      <w:proofErr w:type="spellEnd"/>
      <w:r w:rsidR="007F1F80" w:rsidRPr="00BD2B90">
        <w:t xml:space="preserve"> характеру;</w:t>
      </w:r>
    </w:p>
    <w:p w14:paraId="1E0012A7" w14:textId="77777777" w:rsidR="007F1F80" w:rsidRPr="00BD2B90" w:rsidRDefault="00D51498" w:rsidP="003C12B2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>
        <w:rPr>
          <w:lang w:val="uk-UA"/>
        </w:rPr>
        <w:t xml:space="preserve">- </w:t>
      </w:r>
      <w:proofErr w:type="spellStart"/>
      <w:r w:rsidR="007F1F80" w:rsidRPr="00BD2B90">
        <w:t>заснованих</w:t>
      </w:r>
      <w:proofErr w:type="spellEnd"/>
      <w:r w:rsidR="007F1F80" w:rsidRPr="00BD2B90">
        <w:t xml:space="preserve"> в </w:t>
      </w:r>
      <w:proofErr w:type="spellStart"/>
      <w:r w:rsidR="007F1F80" w:rsidRPr="00BD2B90">
        <w:t>Україні</w:t>
      </w:r>
      <w:proofErr w:type="spellEnd"/>
      <w:r w:rsidR="007F1F80" w:rsidRPr="00BD2B90">
        <w:t xml:space="preserve"> </w:t>
      </w:r>
      <w:proofErr w:type="spellStart"/>
      <w:r w:rsidR="007F1F80" w:rsidRPr="00BD2B90">
        <w:t>міжнародними</w:t>
      </w:r>
      <w:proofErr w:type="spellEnd"/>
      <w:r w:rsidR="007F1F80" w:rsidRPr="00BD2B90">
        <w:t xml:space="preserve"> </w:t>
      </w:r>
      <w:proofErr w:type="spellStart"/>
      <w:r w:rsidR="007F1F80" w:rsidRPr="00BD2B90">
        <w:t>організаціями</w:t>
      </w:r>
      <w:proofErr w:type="spellEnd"/>
      <w:r w:rsidR="007F1F80" w:rsidRPr="00BD2B90">
        <w:t xml:space="preserve"> </w:t>
      </w:r>
      <w:proofErr w:type="spellStart"/>
      <w:r w:rsidR="007F1F80" w:rsidRPr="00BD2B90">
        <w:t>або</w:t>
      </w:r>
      <w:proofErr w:type="spellEnd"/>
      <w:r w:rsidR="007F1F80" w:rsidRPr="00BD2B90">
        <w:t xml:space="preserve"> за </w:t>
      </w:r>
      <w:proofErr w:type="spellStart"/>
      <w:r w:rsidR="007F1F80" w:rsidRPr="00BD2B90">
        <w:t>участю</w:t>
      </w:r>
      <w:proofErr w:type="spellEnd"/>
      <w:r w:rsidR="007F1F80" w:rsidRPr="00BD2B90">
        <w:t xml:space="preserve"> </w:t>
      </w:r>
      <w:proofErr w:type="spellStart"/>
      <w:r w:rsidR="007F1F80" w:rsidRPr="00BD2B90">
        <w:t>юридичних</w:t>
      </w:r>
      <w:proofErr w:type="spellEnd"/>
      <w:r w:rsidR="007F1F80" w:rsidRPr="00BD2B90">
        <w:t xml:space="preserve"> </w:t>
      </w:r>
      <w:proofErr w:type="spellStart"/>
      <w:r w:rsidR="007F1F80" w:rsidRPr="00BD2B90">
        <w:t>чи</w:t>
      </w:r>
      <w:proofErr w:type="spellEnd"/>
      <w:r w:rsidR="007F1F80" w:rsidRPr="00BD2B90">
        <w:t xml:space="preserve"> </w:t>
      </w:r>
      <w:proofErr w:type="spellStart"/>
      <w:r w:rsidR="007F1F80" w:rsidRPr="00BD2B90">
        <w:t>фізичних</w:t>
      </w:r>
      <w:proofErr w:type="spellEnd"/>
      <w:r w:rsidR="007F1F80" w:rsidRPr="00BD2B90">
        <w:t xml:space="preserve"> </w:t>
      </w:r>
      <w:proofErr w:type="spellStart"/>
      <w:r w:rsidR="007F1F80" w:rsidRPr="00BD2B90">
        <w:t>осіб</w:t>
      </w:r>
      <w:proofErr w:type="spellEnd"/>
      <w:r w:rsidR="007F1F80" w:rsidRPr="00BD2B90">
        <w:t xml:space="preserve"> </w:t>
      </w:r>
      <w:proofErr w:type="spellStart"/>
      <w:r w:rsidR="007F1F80" w:rsidRPr="00BD2B90">
        <w:t>інших</w:t>
      </w:r>
      <w:proofErr w:type="spellEnd"/>
      <w:r w:rsidR="007F1F80" w:rsidRPr="00BD2B90">
        <w:t xml:space="preserve"> держав, </w:t>
      </w:r>
      <w:proofErr w:type="spellStart"/>
      <w:r w:rsidR="007F1F80" w:rsidRPr="00BD2B90">
        <w:t>осіб</w:t>
      </w:r>
      <w:proofErr w:type="spellEnd"/>
      <w:r w:rsidR="007F1F80" w:rsidRPr="00BD2B90">
        <w:t xml:space="preserve"> без </w:t>
      </w:r>
      <w:proofErr w:type="spellStart"/>
      <w:r w:rsidR="007F1F80" w:rsidRPr="00BD2B90">
        <w:t>громадянства</w:t>
      </w:r>
      <w:proofErr w:type="spellEnd"/>
      <w:r w:rsidR="007F1F80" w:rsidRPr="00BD2B90">
        <w:t>;</w:t>
      </w:r>
    </w:p>
    <w:p w14:paraId="03D84499" w14:textId="77777777" w:rsidR="007F1F80" w:rsidRPr="00BD2B90" w:rsidRDefault="00D51498" w:rsidP="003C12B2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>
        <w:rPr>
          <w:lang w:val="uk-UA"/>
        </w:rPr>
        <w:t xml:space="preserve">- </w:t>
      </w:r>
      <w:r w:rsidR="007F1F80" w:rsidRPr="00BD2B90">
        <w:t xml:space="preserve">в </w:t>
      </w:r>
      <w:proofErr w:type="spellStart"/>
      <w:r w:rsidR="007F1F80" w:rsidRPr="00BD2B90">
        <w:t>яких</w:t>
      </w:r>
      <w:proofErr w:type="spellEnd"/>
      <w:r w:rsidR="007F1F80" w:rsidRPr="00BD2B90">
        <w:t xml:space="preserve"> </w:t>
      </w:r>
      <w:proofErr w:type="spellStart"/>
      <w:r w:rsidR="007F1F80" w:rsidRPr="00BD2B90">
        <w:t>понад</w:t>
      </w:r>
      <w:proofErr w:type="spellEnd"/>
      <w:r w:rsidR="007F1F80" w:rsidRPr="00BD2B90">
        <w:t xml:space="preserve"> 50 </w:t>
      </w:r>
      <w:proofErr w:type="spellStart"/>
      <w:r w:rsidR="007F1F80" w:rsidRPr="00BD2B90">
        <w:t>відсотків</w:t>
      </w:r>
      <w:proofErr w:type="spellEnd"/>
      <w:r w:rsidR="007F1F80" w:rsidRPr="00BD2B90">
        <w:t xml:space="preserve"> </w:t>
      </w:r>
      <w:proofErr w:type="spellStart"/>
      <w:r w:rsidR="007F1F80" w:rsidRPr="00BD2B90">
        <w:t>загального</w:t>
      </w:r>
      <w:proofErr w:type="spellEnd"/>
      <w:r w:rsidR="007F1F80" w:rsidRPr="00BD2B90">
        <w:t xml:space="preserve"> </w:t>
      </w:r>
      <w:proofErr w:type="spellStart"/>
      <w:r w:rsidR="007F1F80" w:rsidRPr="00BD2B90">
        <w:t>обсягу</w:t>
      </w:r>
      <w:proofErr w:type="spellEnd"/>
      <w:r w:rsidR="007F1F80" w:rsidRPr="00BD2B90">
        <w:t xml:space="preserve"> </w:t>
      </w:r>
      <w:proofErr w:type="spellStart"/>
      <w:r w:rsidR="007F1F80" w:rsidRPr="00BD2B90">
        <w:t>випуску</w:t>
      </w:r>
      <w:proofErr w:type="spellEnd"/>
      <w:r w:rsidR="007F1F80" w:rsidRPr="00BD2B90">
        <w:t xml:space="preserve"> </w:t>
      </w:r>
      <w:proofErr w:type="spellStart"/>
      <w:r w:rsidR="007F1F80" w:rsidRPr="00BD2B90">
        <w:t>становлять</w:t>
      </w:r>
      <w:proofErr w:type="spellEnd"/>
      <w:r w:rsidR="007F1F80" w:rsidRPr="00BD2B90">
        <w:t xml:space="preserve"> </w:t>
      </w:r>
      <w:proofErr w:type="spellStart"/>
      <w:r w:rsidR="007F1F80" w:rsidRPr="00BD2B90">
        <w:t>матеріали</w:t>
      </w:r>
      <w:proofErr w:type="spellEnd"/>
      <w:r w:rsidR="007F1F80" w:rsidRPr="00BD2B90">
        <w:t xml:space="preserve"> </w:t>
      </w:r>
      <w:proofErr w:type="spellStart"/>
      <w:r w:rsidR="007F1F80" w:rsidRPr="00BD2B90">
        <w:t>зарубіжних</w:t>
      </w:r>
      <w:proofErr w:type="spellEnd"/>
      <w:r w:rsidR="007F1F80" w:rsidRPr="00BD2B90">
        <w:t xml:space="preserve"> </w:t>
      </w:r>
      <w:proofErr w:type="spellStart"/>
      <w:r w:rsidR="007F1F80" w:rsidRPr="00BD2B90">
        <w:t>медіа</w:t>
      </w:r>
      <w:proofErr w:type="spellEnd"/>
      <w:r w:rsidR="007F1F80" w:rsidRPr="00BD2B90">
        <w:t>;</w:t>
      </w:r>
    </w:p>
    <w:p w14:paraId="1ACC5057" w14:textId="77777777" w:rsidR="00ED1416" w:rsidRPr="00BD2B90" w:rsidRDefault="00D51498" w:rsidP="00A377E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 w:rsidR="007F1F80" w:rsidRPr="00BD2B90">
        <w:t>заснованих</w:t>
      </w:r>
      <w:proofErr w:type="spellEnd"/>
      <w:r w:rsidR="007F1F80" w:rsidRPr="00BD2B90">
        <w:t xml:space="preserve"> за </w:t>
      </w:r>
      <w:proofErr w:type="spellStart"/>
      <w:r w:rsidR="007F1F80" w:rsidRPr="00BD2B90">
        <w:t>участю</w:t>
      </w:r>
      <w:proofErr w:type="spellEnd"/>
      <w:r w:rsidR="007F1F80" w:rsidRPr="00BD2B90">
        <w:t xml:space="preserve"> </w:t>
      </w:r>
      <w:proofErr w:type="spellStart"/>
      <w:r w:rsidR="007F1F80" w:rsidRPr="00BD2B90">
        <w:t>юридичних</w:t>
      </w:r>
      <w:proofErr w:type="spellEnd"/>
      <w:r w:rsidR="007F1F80" w:rsidRPr="00BD2B90">
        <w:t xml:space="preserve"> </w:t>
      </w:r>
      <w:proofErr w:type="spellStart"/>
      <w:r w:rsidR="007F1F80" w:rsidRPr="00BD2B90">
        <w:t>або</w:t>
      </w:r>
      <w:proofErr w:type="spellEnd"/>
      <w:r w:rsidR="007F1F80" w:rsidRPr="00BD2B90">
        <w:t xml:space="preserve"> </w:t>
      </w:r>
      <w:proofErr w:type="spellStart"/>
      <w:r w:rsidR="007F1F80" w:rsidRPr="00BD2B90">
        <w:t>фізичних</w:t>
      </w:r>
      <w:proofErr w:type="spellEnd"/>
      <w:r w:rsidR="007F1F80" w:rsidRPr="00BD2B90">
        <w:t xml:space="preserve"> </w:t>
      </w:r>
      <w:proofErr w:type="spellStart"/>
      <w:r w:rsidR="007F1F80" w:rsidRPr="00BD2B90">
        <w:t>осіб</w:t>
      </w:r>
      <w:proofErr w:type="spellEnd"/>
      <w:r w:rsidR="007F1F80" w:rsidRPr="00BD2B90">
        <w:t xml:space="preserve">, до </w:t>
      </w:r>
      <w:proofErr w:type="spellStart"/>
      <w:r w:rsidR="007F1F80" w:rsidRPr="00BD2B90">
        <w:t>сфери</w:t>
      </w:r>
      <w:proofErr w:type="spellEnd"/>
      <w:r w:rsidR="007F1F80" w:rsidRPr="00BD2B90">
        <w:t xml:space="preserve"> </w:t>
      </w:r>
      <w:proofErr w:type="spellStart"/>
      <w:r w:rsidR="007F1F80" w:rsidRPr="00BD2B90">
        <w:t>діяльності</w:t>
      </w:r>
      <w:proofErr w:type="spellEnd"/>
      <w:r w:rsidR="007F1F80" w:rsidRPr="00BD2B90">
        <w:t xml:space="preserve"> </w:t>
      </w:r>
      <w:proofErr w:type="spellStart"/>
      <w:r w:rsidR="007F1F80" w:rsidRPr="00BD2B90">
        <w:t>яких</w:t>
      </w:r>
      <w:proofErr w:type="spellEnd"/>
      <w:r w:rsidR="007F1F80" w:rsidRPr="00BD2B90">
        <w:t xml:space="preserve"> </w:t>
      </w:r>
      <w:proofErr w:type="spellStart"/>
      <w:r w:rsidR="007F1F80" w:rsidRPr="00BD2B90">
        <w:t>належить</w:t>
      </w:r>
      <w:proofErr w:type="spellEnd"/>
      <w:r w:rsidR="007F1F80" w:rsidRPr="00BD2B90">
        <w:t xml:space="preserve"> </w:t>
      </w:r>
      <w:proofErr w:type="spellStart"/>
      <w:r w:rsidR="007F1F80" w:rsidRPr="00BD2B90">
        <w:t>виробництво</w:t>
      </w:r>
      <w:proofErr w:type="spellEnd"/>
      <w:r w:rsidR="007F1F80" w:rsidRPr="00BD2B90">
        <w:t xml:space="preserve"> та </w:t>
      </w:r>
      <w:proofErr w:type="spellStart"/>
      <w:r w:rsidR="007F1F80" w:rsidRPr="00BD2B90">
        <w:t>постачання</w:t>
      </w:r>
      <w:proofErr w:type="spellEnd"/>
      <w:r w:rsidR="007F1F80" w:rsidRPr="00BD2B90">
        <w:t xml:space="preserve"> </w:t>
      </w:r>
      <w:proofErr w:type="spellStart"/>
      <w:r w:rsidR="007F1F80" w:rsidRPr="00BD2B90">
        <w:t>паперу</w:t>
      </w:r>
      <w:proofErr w:type="spellEnd"/>
      <w:r w:rsidR="007F1F80" w:rsidRPr="00BD2B90">
        <w:t xml:space="preserve">, </w:t>
      </w:r>
      <w:proofErr w:type="spellStart"/>
      <w:r w:rsidR="007F1F80" w:rsidRPr="00BD2B90">
        <w:t>поліграфічного</w:t>
      </w:r>
      <w:proofErr w:type="spellEnd"/>
      <w:r w:rsidR="007F1F80" w:rsidRPr="00BD2B90">
        <w:t xml:space="preserve"> </w:t>
      </w:r>
      <w:proofErr w:type="spellStart"/>
      <w:r w:rsidR="007F1F80" w:rsidRPr="00BD2B90">
        <w:t>обладнання</w:t>
      </w:r>
      <w:proofErr w:type="spellEnd"/>
      <w:r w:rsidR="007F1F80" w:rsidRPr="00BD2B90">
        <w:t xml:space="preserve">, </w:t>
      </w:r>
      <w:proofErr w:type="spellStart"/>
      <w:r w:rsidR="007F1F80" w:rsidRPr="00BD2B90">
        <w:t>технічних</w:t>
      </w:r>
      <w:proofErr w:type="spellEnd"/>
      <w:r w:rsidR="007F1F80" w:rsidRPr="00BD2B90">
        <w:t xml:space="preserve"> </w:t>
      </w:r>
      <w:proofErr w:type="spellStart"/>
      <w:r w:rsidR="007F1F80" w:rsidRPr="00BD2B90">
        <w:t>засобів</w:t>
      </w:r>
      <w:proofErr w:type="spellEnd"/>
      <w:r w:rsidR="007F1F80" w:rsidRPr="00BD2B90">
        <w:t xml:space="preserve"> </w:t>
      </w:r>
      <w:proofErr w:type="spellStart"/>
      <w:r w:rsidR="007F1F80" w:rsidRPr="00BD2B90">
        <w:t>мовлення</w:t>
      </w:r>
      <w:proofErr w:type="spellEnd"/>
      <w:r w:rsidR="007F1F80" w:rsidRPr="00BD2B90">
        <w:t>.</w:t>
      </w:r>
    </w:p>
    <w:p w14:paraId="2B32DA45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423DC2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. Розмір річної орендної плати у разі оренди іншого окремого індивідуально визначеного майна (крім транспортних засобів) встановлюється на рівні 12 відсотків вартості об’єкта оренди</w:t>
      </w:r>
      <w:r w:rsidR="00500447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, з урахуванням вимог статті 8 Закону</w:t>
      </w: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8EC598A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n63"/>
      <w:bookmarkEnd w:id="32"/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річної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транспортних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засобів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встановлюється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рівні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10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відсотків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вартості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об’єкта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E33E01E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" w:name="n64"/>
      <w:bookmarkStart w:id="34" w:name="n65"/>
      <w:bookmarkStart w:id="35" w:name="n66"/>
      <w:bookmarkStart w:id="36" w:name="n67"/>
      <w:bookmarkStart w:id="37" w:name="n70"/>
      <w:bookmarkEnd w:id="33"/>
      <w:bookmarkEnd w:id="34"/>
      <w:bookmarkEnd w:id="35"/>
      <w:bookmarkEnd w:id="36"/>
      <w:bookmarkEnd w:id="37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21195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Якщо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підставі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цієї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 (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крім</w:t>
      </w:r>
      <w:proofErr w:type="spellEnd"/>
      <w:r w:rsidR="00C267DE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пункту 1</w:t>
      </w:r>
      <w:r w:rsidR="00094261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цієї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Методики)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абзацу четвертого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частини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сьомої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статті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18 Закону (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) і при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цьому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між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датою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і датою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підписання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приймання-передачі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минуло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більше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ніж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один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повний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календарний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розмір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перший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встановлюється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коригування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індекс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інфляції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місяцях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минули з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дати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базовий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729C8B3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n71"/>
      <w:bookmarkEnd w:id="38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93138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Якщо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визначена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результатами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аукціону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січень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грудень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наступного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роком,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який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припадає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перший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визначається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коригування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 за перший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річний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індекс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інфляції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року,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який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припадає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перший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 за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січень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грудень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третього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і кожного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наступного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календарного року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оренди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визначається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коригування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місячної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орендної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плати,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сплачувалася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попередньому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році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,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середньорічний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індекс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інфляції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такого року.</w:t>
      </w:r>
    </w:p>
    <w:p w14:paraId="090540CA" w14:textId="77777777" w:rsidR="000633AE" w:rsidRPr="00BD2B90" w:rsidRDefault="000633AE" w:rsidP="003C12B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39" w:name="n72"/>
      <w:bookmarkEnd w:id="39"/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Орендна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плата,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встановлена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="00850D1B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 пункту </w:t>
      </w:r>
      <w:proofErr w:type="gramStart"/>
      <w:r w:rsidR="00850D1B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10 </w:t>
      </w:r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цієї</w:t>
      </w:r>
      <w:proofErr w:type="spellEnd"/>
      <w:proofErr w:type="gram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Методики, не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підлягає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коригуванню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індекс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інфляції</w:t>
      </w:r>
      <w:proofErr w:type="spellEnd"/>
      <w:r w:rsidRPr="00BD2B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933CFB" w14:textId="77777777" w:rsidR="00184A37" w:rsidRPr="00BD2B90" w:rsidRDefault="00184A37" w:rsidP="003C12B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lastRenderedPageBreak/>
        <w:t xml:space="preserve">     1</w:t>
      </w:r>
      <w:r w:rsidR="00E86DB1" w:rsidRPr="00BD2B90">
        <w:rPr>
          <w:rFonts w:ascii="Times New Roman" w:hAnsi="Times New Roman"/>
          <w:sz w:val="24"/>
          <w:szCs w:val="24"/>
          <w:lang w:val="uk-UA"/>
        </w:rPr>
        <w:t>4</w:t>
      </w:r>
      <w:r w:rsidRPr="00BD2B90">
        <w:rPr>
          <w:rFonts w:ascii="Times New Roman" w:hAnsi="Times New Roman"/>
          <w:sz w:val="24"/>
          <w:szCs w:val="24"/>
          <w:lang w:val="uk-UA"/>
        </w:rPr>
        <w:t>. Встановити пропорції розподілу орендної плати між бюджетом</w:t>
      </w:r>
      <w:r w:rsidR="00D51498">
        <w:rPr>
          <w:rFonts w:ascii="Times New Roman" w:hAnsi="Times New Roman"/>
          <w:sz w:val="24"/>
          <w:szCs w:val="24"/>
          <w:lang w:val="uk-UA"/>
        </w:rPr>
        <w:t xml:space="preserve"> Чорноморської міської територіальної громади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51498">
        <w:rPr>
          <w:rFonts w:ascii="Times New Roman" w:hAnsi="Times New Roman"/>
          <w:sz w:val="24"/>
          <w:szCs w:val="24"/>
          <w:lang w:val="uk-UA"/>
        </w:rPr>
        <w:t>о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рендодавцем  і </w:t>
      </w:r>
      <w:r w:rsidR="00D51498">
        <w:rPr>
          <w:rFonts w:ascii="Times New Roman" w:hAnsi="Times New Roman"/>
          <w:sz w:val="24"/>
          <w:szCs w:val="24"/>
          <w:lang w:val="uk-UA"/>
        </w:rPr>
        <w:t>б</w:t>
      </w:r>
      <w:r w:rsidRPr="00BD2B90">
        <w:rPr>
          <w:rFonts w:ascii="Times New Roman" w:hAnsi="Times New Roman"/>
          <w:sz w:val="24"/>
          <w:szCs w:val="24"/>
          <w:lang w:val="uk-UA"/>
        </w:rPr>
        <w:t>алансоутримувачем  у співвідношенні:</w:t>
      </w:r>
    </w:p>
    <w:p w14:paraId="10973A7C" w14:textId="77777777" w:rsidR="00184A37" w:rsidRPr="00BD2B90" w:rsidRDefault="00184A37" w:rsidP="003C12B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 1</w:t>
      </w:r>
      <w:r w:rsidR="00E86DB1" w:rsidRPr="00BD2B90">
        <w:rPr>
          <w:rFonts w:ascii="Times New Roman" w:hAnsi="Times New Roman"/>
          <w:sz w:val="24"/>
          <w:szCs w:val="24"/>
          <w:lang w:val="uk-UA"/>
        </w:rPr>
        <w:t>4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.1 за окреме індивідуально визначене майно підприємства, організації                       (крім нерухомого) -  100 відсотків підприємству, організації; </w:t>
      </w:r>
    </w:p>
    <w:p w14:paraId="14AB5D99" w14:textId="77777777" w:rsidR="00184A37" w:rsidRPr="00BD2B90" w:rsidRDefault="00184A37" w:rsidP="003C12B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       1</w:t>
      </w:r>
      <w:r w:rsidR="00E86DB1" w:rsidRPr="00BD2B90">
        <w:rPr>
          <w:rFonts w:ascii="Times New Roman" w:hAnsi="Times New Roman"/>
          <w:sz w:val="24"/>
          <w:szCs w:val="24"/>
          <w:lang w:val="uk-UA"/>
        </w:rPr>
        <w:t>4</w:t>
      </w:r>
      <w:r w:rsidRPr="00BD2B90">
        <w:rPr>
          <w:rFonts w:ascii="Times New Roman" w:hAnsi="Times New Roman"/>
          <w:sz w:val="24"/>
          <w:szCs w:val="24"/>
          <w:lang w:val="uk-UA"/>
        </w:rPr>
        <w:t>.2    за нерухоме майно:</w:t>
      </w:r>
    </w:p>
    <w:p w14:paraId="0D32730D" w14:textId="77777777" w:rsidR="00184A37" w:rsidRPr="00BD2B90" w:rsidRDefault="00184A37" w:rsidP="003C12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        -  </w:t>
      </w:r>
      <w:r w:rsidRPr="00BD2B90">
        <w:rPr>
          <w:rFonts w:ascii="Times New Roman" w:hAnsi="Times New Roman"/>
          <w:sz w:val="24"/>
          <w:szCs w:val="24"/>
        </w:rPr>
        <w:t>70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 відсотків орендної плати - підприємству,  організації; </w:t>
      </w:r>
    </w:p>
    <w:p w14:paraId="6374839A" w14:textId="77777777" w:rsidR="00184A37" w:rsidRPr="00BD2B90" w:rsidRDefault="00F13CE2" w:rsidP="00F13C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184A37" w:rsidRPr="00BD2B90">
        <w:rPr>
          <w:rFonts w:ascii="Times New Roman" w:hAnsi="Times New Roman"/>
          <w:sz w:val="24"/>
          <w:szCs w:val="24"/>
          <w:lang w:val="uk-UA"/>
        </w:rPr>
        <w:t xml:space="preserve"> - 30 відсотків  - до бюджету</w:t>
      </w:r>
      <w:r w:rsidR="00CB61EB" w:rsidRPr="00BD2B90">
        <w:rPr>
          <w:rFonts w:ascii="Times New Roman" w:hAnsi="Times New Roman"/>
          <w:sz w:val="24"/>
          <w:szCs w:val="24"/>
          <w:lang w:val="uk-UA"/>
        </w:rPr>
        <w:t xml:space="preserve"> Чорноморської міської територіальної громади Одеського району Одеської області</w:t>
      </w:r>
      <w:r w:rsidR="00184A37" w:rsidRPr="00BD2B90">
        <w:rPr>
          <w:rFonts w:ascii="Times New Roman" w:hAnsi="Times New Roman"/>
          <w:sz w:val="24"/>
          <w:szCs w:val="24"/>
          <w:lang w:val="uk-UA"/>
        </w:rPr>
        <w:t>;</w:t>
      </w:r>
    </w:p>
    <w:p w14:paraId="07E98889" w14:textId="77777777" w:rsidR="00184A37" w:rsidRPr="00BD2B90" w:rsidRDefault="00184A37" w:rsidP="003C12B2">
      <w:pPr>
        <w:tabs>
          <w:tab w:val="left" w:pos="720"/>
          <w:tab w:val="left" w:pos="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1</w:t>
      </w:r>
      <w:r w:rsidR="00E86DB1" w:rsidRPr="00BD2B90">
        <w:rPr>
          <w:rFonts w:ascii="Times New Roman" w:hAnsi="Times New Roman"/>
          <w:sz w:val="24"/>
          <w:szCs w:val="24"/>
          <w:lang w:val="uk-UA"/>
        </w:rPr>
        <w:t>4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.3  за  нерухоме  майно, яке знаходиться на балансі виконавчих органів Чорноморської міської ради </w:t>
      </w:r>
      <w:r w:rsidR="00541176" w:rsidRPr="00BD2B90">
        <w:rPr>
          <w:rFonts w:ascii="Times New Roman" w:hAnsi="Times New Roman"/>
          <w:sz w:val="24"/>
          <w:szCs w:val="24"/>
          <w:lang w:val="uk-UA"/>
        </w:rPr>
        <w:t xml:space="preserve">Одеського району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Одеської області та бюджетних установ, що утримуються за рахунок коштів бюджету </w:t>
      </w:r>
      <w:r w:rsidR="00310F7B" w:rsidRPr="00BD2B90">
        <w:rPr>
          <w:rFonts w:ascii="Times New Roman" w:hAnsi="Times New Roman"/>
          <w:sz w:val="24"/>
          <w:szCs w:val="24"/>
          <w:lang w:val="uk-UA"/>
        </w:rPr>
        <w:t>Чорноморської міської територіальної громади Одеського району Одеської області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, крім управління комунальної власності  та земельних відносин Чорноморської міської ради </w:t>
      </w:r>
      <w:r w:rsidR="00310F7B" w:rsidRPr="00BD2B90">
        <w:rPr>
          <w:rFonts w:ascii="Times New Roman" w:hAnsi="Times New Roman"/>
          <w:sz w:val="24"/>
          <w:szCs w:val="24"/>
          <w:lang w:val="uk-UA"/>
        </w:rPr>
        <w:t xml:space="preserve">Одеського району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Одеської області – </w:t>
      </w:r>
      <w:r w:rsidR="00310F7B" w:rsidRPr="00BD2B90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100 відсотків на відповідні рахунки виконавчих органів Чорноморської міської ради Одеської області  та бюджетних установ, що утримуються за рахунок коштів бюджету </w:t>
      </w:r>
      <w:r w:rsidR="0014383F" w:rsidRPr="00BD2B90">
        <w:rPr>
          <w:rFonts w:ascii="Times New Roman" w:hAnsi="Times New Roman"/>
          <w:sz w:val="24"/>
          <w:szCs w:val="24"/>
          <w:lang w:val="uk-UA"/>
        </w:rPr>
        <w:t>Чорноморської міської територіальної громади Одеського району Одеської області</w:t>
      </w:r>
      <w:r w:rsidRPr="00BD2B90">
        <w:rPr>
          <w:rFonts w:ascii="Times New Roman" w:hAnsi="Times New Roman"/>
          <w:sz w:val="24"/>
          <w:szCs w:val="24"/>
          <w:lang w:val="uk-UA"/>
        </w:rPr>
        <w:t>, відкриті в територіальному органі Державної казначейської служби України як власні  надходження бюджетних установ;</w:t>
      </w:r>
    </w:p>
    <w:p w14:paraId="25279E3A" w14:textId="77777777" w:rsidR="00184A37" w:rsidRPr="00BD2B90" w:rsidRDefault="00184A37" w:rsidP="003C12B2">
      <w:pPr>
        <w:tabs>
          <w:tab w:val="left" w:pos="720"/>
          <w:tab w:val="left" w:pos="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1</w:t>
      </w:r>
      <w:r w:rsidR="00ED5A76" w:rsidRPr="00BD2B90">
        <w:rPr>
          <w:rFonts w:ascii="Times New Roman" w:hAnsi="Times New Roman"/>
          <w:sz w:val="24"/>
          <w:szCs w:val="24"/>
          <w:lang w:val="uk-UA"/>
        </w:rPr>
        <w:t>4</w:t>
      </w:r>
      <w:r w:rsidRPr="00BD2B90">
        <w:rPr>
          <w:rFonts w:ascii="Times New Roman" w:hAnsi="Times New Roman"/>
          <w:sz w:val="24"/>
          <w:szCs w:val="24"/>
          <w:lang w:val="uk-UA"/>
        </w:rPr>
        <w:t>.4</w:t>
      </w:r>
      <w:r w:rsidR="001201EB" w:rsidRPr="00BD2B90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3091" w:rsidRPr="00BD2B90">
        <w:rPr>
          <w:rFonts w:ascii="Times New Roman" w:hAnsi="Times New Roman"/>
          <w:sz w:val="24"/>
          <w:szCs w:val="24"/>
          <w:lang w:val="uk-UA"/>
        </w:rPr>
        <w:t>майно,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яке знаходиться на  балансі  управління комунальної власності  та земельних відносин Чорноморської міської ради Одеської області – 100 відсотків до бюджету</w:t>
      </w:r>
      <w:r w:rsidR="00D52BF4" w:rsidRPr="00BD2B90">
        <w:rPr>
          <w:rFonts w:ascii="Times New Roman" w:hAnsi="Times New Roman"/>
          <w:sz w:val="24"/>
          <w:szCs w:val="24"/>
          <w:lang w:val="uk-UA"/>
        </w:rPr>
        <w:t xml:space="preserve"> Чорноморської міської територіальної громади Одеського району Одеської області</w:t>
      </w:r>
      <w:r w:rsidRPr="00BD2B90">
        <w:rPr>
          <w:rFonts w:ascii="Times New Roman" w:hAnsi="Times New Roman"/>
          <w:sz w:val="24"/>
          <w:szCs w:val="24"/>
          <w:lang w:val="uk-UA"/>
        </w:rPr>
        <w:t>.</w:t>
      </w:r>
    </w:p>
    <w:p w14:paraId="7BEDE238" w14:textId="77777777" w:rsidR="00312E9C" w:rsidRPr="00BD2B90" w:rsidRDefault="00167D52" w:rsidP="003C12B2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E86DB1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15.</w:t>
      </w:r>
      <w:r w:rsidR="00312E9C" w:rsidRPr="00BD2B90">
        <w:rPr>
          <w:rFonts w:ascii="Times New Roman" w:hAnsi="Times New Roman"/>
          <w:sz w:val="24"/>
          <w:szCs w:val="24"/>
          <w:lang w:val="uk-UA"/>
        </w:rPr>
        <w:t xml:space="preserve"> Надходження від оренди майна комунальної власності Чорноморської  міської територіальної громади  в особі Чорноморської міської ради  Одеського району Одеської області, </w:t>
      </w:r>
      <w:r w:rsidR="00E42A71" w:rsidRPr="00BD2B90">
        <w:rPr>
          <w:rFonts w:ascii="Times New Roman" w:hAnsi="Times New Roman"/>
          <w:sz w:val="24"/>
          <w:szCs w:val="24"/>
          <w:lang w:val="uk-UA"/>
        </w:rPr>
        <w:t>які отримують на свої рахунки підприємства/установи/організації</w:t>
      </w:r>
      <w:r w:rsidR="00D51498">
        <w:rPr>
          <w:rFonts w:ascii="Times New Roman" w:hAnsi="Times New Roman"/>
          <w:sz w:val="24"/>
          <w:szCs w:val="24"/>
          <w:lang w:val="uk-UA"/>
        </w:rPr>
        <w:t>,</w:t>
      </w:r>
      <w:r w:rsidR="00312E9C" w:rsidRPr="00BD2B90">
        <w:rPr>
          <w:rFonts w:ascii="Times New Roman" w:hAnsi="Times New Roman"/>
          <w:sz w:val="24"/>
          <w:szCs w:val="24"/>
          <w:lang w:val="uk-UA"/>
        </w:rPr>
        <w:t xml:space="preserve"> спрямовуються </w:t>
      </w:r>
      <w:r w:rsidR="00312E9C"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на проведення поточного та капітального ремонту об’єктів (</w:t>
      </w:r>
      <w:r w:rsidR="00312E9C" w:rsidRPr="00BD2B90">
        <w:rPr>
          <w:rFonts w:ascii="Times New Roman" w:hAnsi="Times New Roman"/>
          <w:sz w:val="24"/>
          <w:szCs w:val="24"/>
          <w:lang w:val="uk-UA"/>
        </w:rPr>
        <w:t xml:space="preserve">житлового та нежитлового фонду) з метою підтримки їх у належному стані. </w:t>
      </w:r>
    </w:p>
    <w:p w14:paraId="700C85A9" w14:textId="77777777" w:rsidR="002F1B40" w:rsidRPr="00BD2B90" w:rsidRDefault="002F1B40" w:rsidP="003C12B2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15.1</w:t>
      </w:r>
      <w:r w:rsidR="008C045E" w:rsidRPr="00BD2B90">
        <w:rPr>
          <w:rFonts w:ascii="Times New Roman" w:hAnsi="Times New Roman"/>
          <w:sz w:val="24"/>
          <w:szCs w:val="24"/>
          <w:lang w:val="uk-UA"/>
        </w:rPr>
        <w:t>.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 Інформацію щодо надходжень від оренди майна комунальної власності Чорноморської  міської територіальної громади в особі Чорноморської міської ради  Одеського району Одеської області,</w:t>
      </w:r>
      <w:r w:rsidR="00E42A71" w:rsidRPr="00BD2B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32DA" w:rsidRPr="00BD2B90">
        <w:rPr>
          <w:rFonts w:ascii="Times New Roman" w:hAnsi="Times New Roman"/>
          <w:sz w:val="24"/>
          <w:szCs w:val="24"/>
          <w:lang w:val="uk-UA"/>
        </w:rPr>
        <w:t>що</w:t>
      </w:r>
      <w:r w:rsidR="00E42A71" w:rsidRPr="00BD2B90">
        <w:rPr>
          <w:rFonts w:ascii="Times New Roman" w:hAnsi="Times New Roman"/>
          <w:sz w:val="24"/>
          <w:szCs w:val="24"/>
          <w:lang w:val="uk-UA"/>
        </w:rPr>
        <w:t xml:space="preserve"> отримують на свої рахунки підприємства/установи/організації та</w:t>
      </w:r>
      <w:r w:rsidR="009032DA" w:rsidRPr="00BD2B90">
        <w:rPr>
          <w:rFonts w:ascii="Times New Roman" w:hAnsi="Times New Roman"/>
          <w:sz w:val="24"/>
          <w:szCs w:val="24"/>
          <w:lang w:val="uk-UA"/>
        </w:rPr>
        <w:t xml:space="preserve"> які</w:t>
      </w:r>
      <w:r w:rsidR="00E42A71" w:rsidRPr="00BD2B9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спрямовуються </w:t>
      </w:r>
      <w:r w:rsidRPr="00BD2B90">
        <w:rPr>
          <w:rFonts w:ascii="Times New Roman" w:eastAsia="Times New Roman" w:hAnsi="Times New Roman"/>
          <w:sz w:val="24"/>
          <w:szCs w:val="24"/>
          <w:lang w:val="uk-UA" w:eastAsia="ru-RU"/>
        </w:rPr>
        <w:t>на проведення поточного та капітального ремонту об’єктів (</w:t>
      </w:r>
      <w:r w:rsidRPr="00BD2B90">
        <w:rPr>
          <w:rFonts w:ascii="Times New Roman" w:hAnsi="Times New Roman"/>
          <w:sz w:val="24"/>
          <w:szCs w:val="24"/>
          <w:lang w:val="uk-UA"/>
        </w:rPr>
        <w:t xml:space="preserve">житлового та нежитлового фонду), </w:t>
      </w:r>
      <w:r w:rsidR="0069105C" w:rsidRPr="00BD2B90">
        <w:rPr>
          <w:rFonts w:ascii="Times New Roman" w:hAnsi="Times New Roman"/>
          <w:sz w:val="24"/>
          <w:szCs w:val="24"/>
          <w:lang w:val="uk-UA"/>
        </w:rPr>
        <w:t>надавати щоквартально</w:t>
      </w:r>
      <w:r w:rsidR="008C045E" w:rsidRPr="00BD2B90">
        <w:rPr>
          <w:rFonts w:ascii="Times New Roman" w:hAnsi="Times New Roman"/>
          <w:sz w:val="24"/>
          <w:szCs w:val="24"/>
          <w:lang w:val="uk-UA"/>
        </w:rPr>
        <w:t xml:space="preserve"> до 20 числа наступного за звітним періодом </w:t>
      </w:r>
      <w:r w:rsidR="0069105C" w:rsidRPr="00BD2B90">
        <w:rPr>
          <w:rFonts w:ascii="Times New Roman" w:hAnsi="Times New Roman"/>
          <w:sz w:val="24"/>
          <w:szCs w:val="24"/>
          <w:lang w:val="uk-UA"/>
        </w:rPr>
        <w:t xml:space="preserve"> до управління комунальної власності та земельних відносин Чорноморської міської ради Одеського району Одеської області. </w:t>
      </w:r>
    </w:p>
    <w:p w14:paraId="2B70A666" w14:textId="77777777" w:rsidR="00412CC3" w:rsidRDefault="00412CC3" w:rsidP="00A509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BAC503A" w14:textId="77777777" w:rsidR="00EC1072" w:rsidRPr="00BD2B90" w:rsidRDefault="00EC1072" w:rsidP="00A509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C8E8B40" w14:textId="77777777" w:rsidR="00A50941" w:rsidRDefault="00FF0085" w:rsidP="003C12B2">
      <w:pPr>
        <w:spacing w:after="0" w:line="240" w:lineRule="auto"/>
        <w:ind w:firstLine="5103"/>
        <w:jc w:val="both"/>
        <w:rPr>
          <w:rFonts w:ascii="Times New Roman" w:hAnsi="Times New Roman"/>
          <w:sz w:val="24"/>
          <w:szCs w:val="24"/>
          <w:lang w:val="uk-UA"/>
        </w:rPr>
      </w:pPr>
      <w:r w:rsidRPr="00BD2B90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</w:p>
    <w:p w14:paraId="4380E958" w14:textId="77777777" w:rsidR="00A50941" w:rsidRPr="00A50941" w:rsidRDefault="00A50941" w:rsidP="00A50941">
      <w:pPr>
        <w:spacing w:after="0" w:line="240" w:lineRule="atLeast"/>
        <w:rPr>
          <w:rFonts w:ascii="Times New Roman" w:hAnsi="Times New Roman"/>
          <w:sz w:val="24"/>
          <w:szCs w:val="24"/>
          <w:lang w:val="uk-UA" w:eastAsia="ru-RU"/>
        </w:rPr>
      </w:pPr>
      <w:r w:rsidRPr="00A50941">
        <w:rPr>
          <w:rFonts w:ascii="Times New Roman" w:hAnsi="Times New Roman"/>
          <w:sz w:val="24"/>
          <w:szCs w:val="24"/>
          <w:lang w:val="uk-UA"/>
        </w:rPr>
        <w:t xml:space="preserve">Начальник  відділу комунальної  власності     </w:t>
      </w:r>
    </w:p>
    <w:p w14:paraId="4384BFAB" w14:textId="77777777" w:rsidR="00A50941" w:rsidRPr="00A50941" w:rsidRDefault="00A50941" w:rsidP="00A50941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A50941">
        <w:rPr>
          <w:rFonts w:ascii="Times New Roman" w:hAnsi="Times New Roman"/>
          <w:sz w:val="24"/>
          <w:szCs w:val="24"/>
          <w:lang w:val="uk-UA"/>
        </w:rPr>
        <w:t xml:space="preserve">управління  комунальної власності </w:t>
      </w:r>
    </w:p>
    <w:p w14:paraId="56B9CFC6" w14:textId="77777777" w:rsidR="00A50941" w:rsidRDefault="00A50941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0941">
        <w:rPr>
          <w:rFonts w:ascii="Times New Roman" w:hAnsi="Times New Roman"/>
          <w:sz w:val="24"/>
          <w:szCs w:val="24"/>
          <w:lang w:val="uk-UA"/>
        </w:rPr>
        <w:t xml:space="preserve">та земельних відносин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A50941">
        <w:rPr>
          <w:rFonts w:ascii="Times New Roman" w:hAnsi="Times New Roman"/>
          <w:sz w:val="24"/>
          <w:szCs w:val="24"/>
          <w:lang w:val="uk-UA"/>
        </w:rPr>
        <w:t xml:space="preserve">  Тетяна   </w:t>
      </w:r>
      <w:r>
        <w:rPr>
          <w:rFonts w:ascii="Times New Roman" w:hAnsi="Times New Roman"/>
          <w:sz w:val="24"/>
          <w:szCs w:val="24"/>
          <w:lang w:val="uk-UA"/>
        </w:rPr>
        <w:t xml:space="preserve">БАРИШЕВА </w:t>
      </w:r>
    </w:p>
    <w:p w14:paraId="3164B1CD" w14:textId="77777777" w:rsidR="00EF3186" w:rsidRDefault="00EF3186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F05DB43" w14:textId="77777777" w:rsidR="00D37749" w:rsidRDefault="00D37749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EB998B8" w14:textId="77777777" w:rsidR="00D37749" w:rsidRDefault="00D37749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1249C97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7749">
        <w:rPr>
          <w:rFonts w:ascii="Times New Roman" w:hAnsi="Times New Roman"/>
          <w:sz w:val="24"/>
          <w:szCs w:val="24"/>
          <w:lang w:val="uk-UA"/>
        </w:rPr>
        <w:t>ПОГОДЖЕНО :</w:t>
      </w:r>
    </w:p>
    <w:p w14:paraId="04982D38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D0B6115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7749">
        <w:rPr>
          <w:rFonts w:ascii="Times New Roman" w:hAnsi="Times New Roman"/>
          <w:sz w:val="24"/>
          <w:szCs w:val="24"/>
          <w:lang w:val="uk-UA"/>
        </w:rPr>
        <w:t xml:space="preserve">Заступник   міського   голови                                                                 Ігор   СУРНІН </w:t>
      </w:r>
    </w:p>
    <w:p w14:paraId="1898551F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7064EB8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806B51F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7749">
        <w:rPr>
          <w:rFonts w:ascii="Times New Roman" w:hAnsi="Times New Roman"/>
          <w:sz w:val="24"/>
          <w:szCs w:val="24"/>
          <w:lang w:val="uk-UA"/>
        </w:rPr>
        <w:t xml:space="preserve">Начальник юридичного відділу </w:t>
      </w:r>
    </w:p>
    <w:p w14:paraId="745F3CA7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7749">
        <w:rPr>
          <w:rFonts w:ascii="Times New Roman" w:hAnsi="Times New Roman"/>
          <w:sz w:val="24"/>
          <w:szCs w:val="24"/>
          <w:lang w:val="uk-UA"/>
        </w:rPr>
        <w:t xml:space="preserve">управління державної реєстрації </w:t>
      </w:r>
    </w:p>
    <w:p w14:paraId="04A6BD12" w14:textId="77777777" w:rsidR="00D37749" w:rsidRPr="00D37749" w:rsidRDefault="00D37749" w:rsidP="00D3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7749">
        <w:rPr>
          <w:rFonts w:ascii="Times New Roman" w:hAnsi="Times New Roman"/>
          <w:sz w:val="24"/>
          <w:szCs w:val="24"/>
          <w:lang w:val="uk-UA"/>
        </w:rPr>
        <w:t xml:space="preserve">прав та правового забезпечення                                                         </w:t>
      </w:r>
      <w:proofErr w:type="spellStart"/>
      <w:r w:rsidRPr="00D37749">
        <w:rPr>
          <w:rFonts w:ascii="Times New Roman" w:hAnsi="Times New Roman"/>
          <w:sz w:val="24"/>
          <w:szCs w:val="24"/>
          <w:lang w:val="uk-UA"/>
        </w:rPr>
        <w:t>Вячеслав</w:t>
      </w:r>
      <w:proofErr w:type="spellEnd"/>
      <w:r w:rsidRPr="00D37749">
        <w:rPr>
          <w:rFonts w:ascii="Times New Roman" w:hAnsi="Times New Roman"/>
          <w:sz w:val="24"/>
          <w:szCs w:val="24"/>
          <w:lang w:val="uk-UA"/>
        </w:rPr>
        <w:t xml:space="preserve">  ОХОТНІКОВ </w:t>
      </w:r>
      <w:r w:rsidRPr="00D37749">
        <w:rPr>
          <w:rFonts w:ascii="Times New Roman" w:hAnsi="Times New Roman"/>
          <w:sz w:val="24"/>
          <w:szCs w:val="24"/>
          <w:lang w:val="uk-UA"/>
        </w:rPr>
        <w:tab/>
      </w:r>
      <w:r w:rsidRPr="00D37749">
        <w:rPr>
          <w:rFonts w:ascii="Times New Roman" w:hAnsi="Times New Roman"/>
          <w:sz w:val="24"/>
          <w:szCs w:val="24"/>
          <w:lang w:val="uk-UA"/>
        </w:rPr>
        <w:tab/>
      </w:r>
      <w:r w:rsidRPr="00D37749">
        <w:rPr>
          <w:rFonts w:ascii="Times New Roman" w:hAnsi="Times New Roman"/>
          <w:sz w:val="24"/>
          <w:szCs w:val="24"/>
          <w:lang w:val="uk-UA"/>
        </w:rPr>
        <w:tab/>
      </w:r>
      <w:r w:rsidRPr="00D37749">
        <w:rPr>
          <w:rFonts w:ascii="Times New Roman" w:hAnsi="Times New Roman"/>
          <w:sz w:val="24"/>
          <w:szCs w:val="24"/>
          <w:lang w:val="uk-UA"/>
        </w:rPr>
        <w:tab/>
      </w:r>
    </w:p>
    <w:p w14:paraId="0BB00C52" w14:textId="77777777" w:rsidR="00D37749" w:rsidRDefault="00D37749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D562C7" w14:textId="77777777" w:rsidR="00D37749" w:rsidRPr="00D37749" w:rsidRDefault="00D37749" w:rsidP="00A509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7749" w:rsidRPr="00D37749" w:rsidSect="003C12B2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8A56" w14:textId="77777777" w:rsidR="0019240B" w:rsidRDefault="0019240B" w:rsidP="003C12B2">
      <w:pPr>
        <w:spacing w:after="0" w:line="240" w:lineRule="auto"/>
      </w:pPr>
      <w:r>
        <w:separator/>
      </w:r>
    </w:p>
  </w:endnote>
  <w:endnote w:type="continuationSeparator" w:id="0">
    <w:p w14:paraId="77537BCB" w14:textId="77777777" w:rsidR="0019240B" w:rsidRDefault="0019240B" w:rsidP="003C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8276" w14:textId="77777777" w:rsidR="0019240B" w:rsidRDefault="0019240B" w:rsidP="003C12B2">
      <w:pPr>
        <w:spacing w:after="0" w:line="240" w:lineRule="auto"/>
      </w:pPr>
      <w:r>
        <w:separator/>
      </w:r>
    </w:p>
  </w:footnote>
  <w:footnote w:type="continuationSeparator" w:id="0">
    <w:p w14:paraId="50941CBD" w14:textId="77777777" w:rsidR="0019240B" w:rsidRDefault="0019240B" w:rsidP="003C1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0895" w14:textId="77777777" w:rsidR="003C12B2" w:rsidRPr="003C12B2" w:rsidRDefault="003C12B2">
    <w:pPr>
      <w:pStyle w:val="a7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lang w:val="uk-UA"/>
      </w:rPr>
      <w:t xml:space="preserve">                                                                               </w:t>
    </w:r>
    <w:r w:rsidRPr="003C12B2">
      <w:rPr>
        <w:rFonts w:ascii="Times New Roman" w:hAnsi="Times New Roman"/>
      </w:rPr>
      <w:fldChar w:fldCharType="begin"/>
    </w:r>
    <w:r w:rsidRPr="003C12B2">
      <w:rPr>
        <w:rFonts w:ascii="Times New Roman" w:hAnsi="Times New Roman"/>
      </w:rPr>
      <w:instrText>PAGE   \* MERGEFORMAT</w:instrText>
    </w:r>
    <w:r w:rsidRPr="003C12B2">
      <w:rPr>
        <w:rFonts w:ascii="Times New Roman" w:hAnsi="Times New Roman"/>
      </w:rPr>
      <w:fldChar w:fldCharType="separate"/>
    </w:r>
    <w:r w:rsidR="00366923" w:rsidRPr="00366923">
      <w:rPr>
        <w:rFonts w:ascii="Times New Roman" w:hAnsi="Times New Roman"/>
        <w:noProof/>
        <w:lang w:val="uk-UA"/>
      </w:rPr>
      <w:t>5</w:t>
    </w:r>
    <w:r w:rsidRPr="003C12B2">
      <w:rPr>
        <w:rFonts w:ascii="Times New Roman" w:hAnsi="Times New Roman"/>
      </w:rPr>
      <w:fldChar w:fldCharType="end"/>
    </w:r>
    <w:r w:rsidRPr="003C12B2">
      <w:rPr>
        <w:rFonts w:ascii="Times New Roman" w:hAnsi="Times New Roman"/>
        <w:lang w:val="en-US"/>
      </w:rPr>
      <w:t xml:space="preserve"> </w:t>
    </w:r>
    <w:r>
      <w:rPr>
        <w:rFonts w:ascii="Times New Roman" w:hAnsi="Times New Roman"/>
        <w:lang w:val="uk-UA"/>
      </w:rPr>
      <w:t xml:space="preserve">                                      </w:t>
    </w:r>
    <w:r w:rsidRPr="003C12B2">
      <w:rPr>
        <w:rFonts w:ascii="Times New Roman" w:hAnsi="Times New Roman"/>
        <w:lang w:val="uk-UA"/>
      </w:rPr>
      <w:t xml:space="preserve">Продовження додатка 1 </w:t>
    </w:r>
    <w:r w:rsidRPr="003C12B2">
      <w:rPr>
        <w:rFonts w:ascii="Times New Roman" w:hAnsi="Times New Roman"/>
        <w:lang w:val="en-US"/>
      </w:rPr>
      <w:t xml:space="preserve"> </w:t>
    </w:r>
  </w:p>
  <w:p w14:paraId="5F58300B" w14:textId="77777777" w:rsidR="003C12B2" w:rsidRDefault="003C12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66"/>
    <w:rsid w:val="00002DCA"/>
    <w:rsid w:val="000034B8"/>
    <w:rsid w:val="00016C0D"/>
    <w:rsid w:val="000203A6"/>
    <w:rsid w:val="00020C70"/>
    <w:rsid w:val="00023FBE"/>
    <w:rsid w:val="000331CD"/>
    <w:rsid w:val="00035325"/>
    <w:rsid w:val="00042524"/>
    <w:rsid w:val="0004298E"/>
    <w:rsid w:val="00042AD2"/>
    <w:rsid w:val="000633AE"/>
    <w:rsid w:val="00070A2F"/>
    <w:rsid w:val="00074D62"/>
    <w:rsid w:val="00091E59"/>
    <w:rsid w:val="00094261"/>
    <w:rsid w:val="00096CCE"/>
    <w:rsid w:val="000A3EA4"/>
    <w:rsid w:val="000D0932"/>
    <w:rsid w:val="000D42E6"/>
    <w:rsid w:val="000D605C"/>
    <w:rsid w:val="000D607E"/>
    <w:rsid w:val="000D7B50"/>
    <w:rsid w:val="000E0F71"/>
    <w:rsid w:val="000F4123"/>
    <w:rsid w:val="000F635A"/>
    <w:rsid w:val="00104FD4"/>
    <w:rsid w:val="00105B79"/>
    <w:rsid w:val="00113DBD"/>
    <w:rsid w:val="0011743B"/>
    <w:rsid w:val="001201EB"/>
    <w:rsid w:val="00121A1D"/>
    <w:rsid w:val="00127ABC"/>
    <w:rsid w:val="00132F8E"/>
    <w:rsid w:val="00136EA6"/>
    <w:rsid w:val="00140E89"/>
    <w:rsid w:val="00140FE7"/>
    <w:rsid w:val="001429BA"/>
    <w:rsid w:val="0014383F"/>
    <w:rsid w:val="00145619"/>
    <w:rsid w:val="0014616D"/>
    <w:rsid w:val="00150D18"/>
    <w:rsid w:val="00153402"/>
    <w:rsid w:val="001577D2"/>
    <w:rsid w:val="00157D5F"/>
    <w:rsid w:val="00161596"/>
    <w:rsid w:val="00167D52"/>
    <w:rsid w:val="001745B8"/>
    <w:rsid w:val="001751BC"/>
    <w:rsid w:val="00176FA7"/>
    <w:rsid w:val="00184A37"/>
    <w:rsid w:val="001879E1"/>
    <w:rsid w:val="00190364"/>
    <w:rsid w:val="0019240B"/>
    <w:rsid w:val="001970E1"/>
    <w:rsid w:val="001C4799"/>
    <w:rsid w:val="001D082B"/>
    <w:rsid w:val="001D0D49"/>
    <w:rsid w:val="001E26E4"/>
    <w:rsid w:val="001E4EBA"/>
    <w:rsid w:val="001F1DC5"/>
    <w:rsid w:val="001F576A"/>
    <w:rsid w:val="00203D29"/>
    <w:rsid w:val="0020420F"/>
    <w:rsid w:val="00205CD0"/>
    <w:rsid w:val="002161E2"/>
    <w:rsid w:val="00216524"/>
    <w:rsid w:val="00216C7A"/>
    <w:rsid w:val="00216FCC"/>
    <w:rsid w:val="0023008F"/>
    <w:rsid w:val="002404BA"/>
    <w:rsid w:val="00242CCE"/>
    <w:rsid w:val="00257F5F"/>
    <w:rsid w:val="00265EED"/>
    <w:rsid w:val="00266B41"/>
    <w:rsid w:val="00270730"/>
    <w:rsid w:val="002832F6"/>
    <w:rsid w:val="0028533D"/>
    <w:rsid w:val="00291EBB"/>
    <w:rsid w:val="00294523"/>
    <w:rsid w:val="00294867"/>
    <w:rsid w:val="00295D9C"/>
    <w:rsid w:val="00296FD5"/>
    <w:rsid w:val="002A2248"/>
    <w:rsid w:val="002A3734"/>
    <w:rsid w:val="002A5B3F"/>
    <w:rsid w:val="002B4C10"/>
    <w:rsid w:val="002B7CC4"/>
    <w:rsid w:val="002C6652"/>
    <w:rsid w:val="002C75DD"/>
    <w:rsid w:val="002D1FBC"/>
    <w:rsid w:val="002D3157"/>
    <w:rsid w:val="002D47A7"/>
    <w:rsid w:val="002D6626"/>
    <w:rsid w:val="002D77E1"/>
    <w:rsid w:val="002E379D"/>
    <w:rsid w:val="002F0E2A"/>
    <w:rsid w:val="002F1B40"/>
    <w:rsid w:val="002F3142"/>
    <w:rsid w:val="00310F7B"/>
    <w:rsid w:val="00312E9C"/>
    <w:rsid w:val="003161B3"/>
    <w:rsid w:val="00321E76"/>
    <w:rsid w:val="0032349B"/>
    <w:rsid w:val="0032482C"/>
    <w:rsid w:val="00324975"/>
    <w:rsid w:val="003252DB"/>
    <w:rsid w:val="00336C81"/>
    <w:rsid w:val="00341510"/>
    <w:rsid w:val="00342592"/>
    <w:rsid w:val="003427A4"/>
    <w:rsid w:val="00346778"/>
    <w:rsid w:val="00346D0F"/>
    <w:rsid w:val="00351BB5"/>
    <w:rsid w:val="00364C08"/>
    <w:rsid w:val="00366923"/>
    <w:rsid w:val="003756F4"/>
    <w:rsid w:val="003860EF"/>
    <w:rsid w:val="003917EA"/>
    <w:rsid w:val="00391D5A"/>
    <w:rsid w:val="00394146"/>
    <w:rsid w:val="003A4C66"/>
    <w:rsid w:val="003A6952"/>
    <w:rsid w:val="003B07A5"/>
    <w:rsid w:val="003B7AE0"/>
    <w:rsid w:val="003B7EF1"/>
    <w:rsid w:val="003C001F"/>
    <w:rsid w:val="003C12B2"/>
    <w:rsid w:val="003C3DA0"/>
    <w:rsid w:val="003D21BA"/>
    <w:rsid w:val="003D4C7C"/>
    <w:rsid w:val="003D62E4"/>
    <w:rsid w:val="003E715C"/>
    <w:rsid w:val="003F1EB9"/>
    <w:rsid w:val="003F5728"/>
    <w:rsid w:val="003F5C72"/>
    <w:rsid w:val="003F7CF0"/>
    <w:rsid w:val="00402954"/>
    <w:rsid w:val="00403C81"/>
    <w:rsid w:val="00406975"/>
    <w:rsid w:val="00407984"/>
    <w:rsid w:val="00412CC3"/>
    <w:rsid w:val="00414F91"/>
    <w:rsid w:val="00423DC2"/>
    <w:rsid w:val="00424E79"/>
    <w:rsid w:val="00431B2C"/>
    <w:rsid w:val="00446E78"/>
    <w:rsid w:val="00453F66"/>
    <w:rsid w:val="00456D80"/>
    <w:rsid w:val="0045724F"/>
    <w:rsid w:val="00466150"/>
    <w:rsid w:val="00471F0A"/>
    <w:rsid w:val="00475DE4"/>
    <w:rsid w:val="004801A8"/>
    <w:rsid w:val="00492DE3"/>
    <w:rsid w:val="004A48C6"/>
    <w:rsid w:val="004B217B"/>
    <w:rsid w:val="004C68A7"/>
    <w:rsid w:val="004C6AA8"/>
    <w:rsid w:val="004D0B45"/>
    <w:rsid w:val="004E1115"/>
    <w:rsid w:val="004F6F83"/>
    <w:rsid w:val="004F7B6B"/>
    <w:rsid w:val="00500447"/>
    <w:rsid w:val="0050164F"/>
    <w:rsid w:val="00513F7D"/>
    <w:rsid w:val="00515130"/>
    <w:rsid w:val="00521AE2"/>
    <w:rsid w:val="00524409"/>
    <w:rsid w:val="00527240"/>
    <w:rsid w:val="00530CD4"/>
    <w:rsid w:val="00541176"/>
    <w:rsid w:val="005454F8"/>
    <w:rsid w:val="00553087"/>
    <w:rsid w:val="00563AC1"/>
    <w:rsid w:val="00564003"/>
    <w:rsid w:val="00567F4D"/>
    <w:rsid w:val="005776FD"/>
    <w:rsid w:val="005879DD"/>
    <w:rsid w:val="005911FE"/>
    <w:rsid w:val="00591585"/>
    <w:rsid w:val="00592029"/>
    <w:rsid w:val="00594B9F"/>
    <w:rsid w:val="005B128D"/>
    <w:rsid w:val="005B770A"/>
    <w:rsid w:val="005C2B49"/>
    <w:rsid w:val="005D3082"/>
    <w:rsid w:val="005E0141"/>
    <w:rsid w:val="005E1F4A"/>
    <w:rsid w:val="005E354C"/>
    <w:rsid w:val="005E54E2"/>
    <w:rsid w:val="005F36D4"/>
    <w:rsid w:val="006011AB"/>
    <w:rsid w:val="00601B1F"/>
    <w:rsid w:val="00606A4D"/>
    <w:rsid w:val="00613593"/>
    <w:rsid w:val="00613748"/>
    <w:rsid w:val="006270F5"/>
    <w:rsid w:val="006402B9"/>
    <w:rsid w:val="00644D4F"/>
    <w:rsid w:val="006510B7"/>
    <w:rsid w:val="006525BB"/>
    <w:rsid w:val="006565B9"/>
    <w:rsid w:val="00656929"/>
    <w:rsid w:val="00657907"/>
    <w:rsid w:val="006621A1"/>
    <w:rsid w:val="0067452F"/>
    <w:rsid w:val="0068209B"/>
    <w:rsid w:val="0069105C"/>
    <w:rsid w:val="00692CBE"/>
    <w:rsid w:val="00694BC2"/>
    <w:rsid w:val="006963EC"/>
    <w:rsid w:val="00696ADB"/>
    <w:rsid w:val="006A1447"/>
    <w:rsid w:val="006A3995"/>
    <w:rsid w:val="006A6A76"/>
    <w:rsid w:val="006B6FFB"/>
    <w:rsid w:val="006C3FDE"/>
    <w:rsid w:val="006C5DAF"/>
    <w:rsid w:val="006D3928"/>
    <w:rsid w:val="006D7765"/>
    <w:rsid w:val="006D7D25"/>
    <w:rsid w:val="006E3091"/>
    <w:rsid w:val="006E4D27"/>
    <w:rsid w:val="006E60E0"/>
    <w:rsid w:val="006F452E"/>
    <w:rsid w:val="006F599B"/>
    <w:rsid w:val="00710060"/>
    <w:rsid w:val="00711CF6"/>
    <w:rsid w:val="00715E11"/>
    <w:rsid w:val="00717DB5"/>
    <w:rsid w:val="0072614A"/>
    <w:rsid w:val="0073099F"/>
    <w:rsid w:val="00732BB3"/>
    <w:rsid w:val="007364C1"/>
    <w:rsid w:val="0075135B"/>
    <w:rsid w:val="00766C54"/>
    <w:rsid w:val="00775F85"/>
    <w:rsid w:val="0077613A"/>
    <w:rsid w:val="007766CE"/>
    <w:rsid w:val="0077763C"/>
    <w:rsid w:val="0078550A"/>
    <w:rsid w:val="007913CA"/>
    <w:rsid w:val="00794089"/>
    <w:rsid w:val="007A0A0F"/>
    <w:rsid w:val="007A6B7F"/>
    <w:rsid w:val="007B14BB"/>
    <w:rsid w:val="007B14C7"/>
    <w:rsid w:val="007B1BBD"/>
    <w:rsid w:val="007C2B6C"/>
    <w:rsid w:val="007C5CA0"/>
    <w:rsid w:val="007C68EC"/>
    <w:rsid w:val="007D0588"/>
    <w:rsid w:val="007D57D8"/>
    <w:rsid w:val="007D5D36"/>
    <w:rsid w:val="007D5F7F"/>
    <w:rsid w:val="007E3DFD"/>
    <w:rsid w:val="007E462F"/>
    <w:rsid w:val="007E5F9E"/>
    <w:rsid w:val="007F0599"/>
    <w:rsid w:val="007F0B33"/>
    <w:rsid w:val="007F0DD4"/>
    <w:rsid w:val="007F1F80"/>
    <w:rsid w:val="007F6A07"/>
    <w:rsid w:val="008016C1"/>
    <w:rsid w:val="00805B5F"/>
    <w:rsid w:val="00815D6D"/>
    <w:rsid w:val="00816CC4"/>
    <w:rsid w:val="00816DCE"/>
    <w:rsid w:val="00823FFC"/>
    <w:rsid w:val="00826367"/>
    <w:rsid w:val="0083178B"/>
    <w:rsid w:val="00832CD7"/>
    <w:rsid w:val="00836EB7"/>
    <w:rsid w:val="00850D1B"/>
    <w:rsid w:val="008539BA"/>
    <w:rsid w:val="0085452D"/>
    <w:rsid w:val="00862F21"/>
    <w:rsid w:val="008731A5"/>
    <w:rsid w:val="00874089"/>
    <w:rsid w:val="008749BA"/>
    <w:rsid w:val="00894AA5"/>
    <w:rsid w:val="008A6B86"/>
    <w:rsid w:val="008A7D5A"/>
    <w:rsid w:val="008C016F"/>
    <w:rsid w:val="008C045E"/>
    <w:rsid w:val="008C57CE"/>
    <w:rsid w:val="008D27AF"/>
    <w:rsid w:val="008D55A0"/>
    <w:rsid w:val="008E2387"/>
    <w:rsid w:val="008E358D"/>
    <w:rsid w:val="008F2A14"/>
    <w:rsid w:val="008F5247"/>
    <w:rsid w:val="008F5EBF"/>
    <w:rsid w:val="009031CC"/>
    <w:rsid w:val="009032DA"/>
    <w:rsid w:val="009157F0"/>
    <w:rsid w:val="00916B5B"/>
    <w:rsid w:val="00916BF0"/>
    <w:rsid w:val="00921347"/>
    <w:rsid w:val="00923454"/>
    <w:rsid w:val="00924079"/>
    <w:rsid w:val="00941866"/>
    <w:rsid w:val="00952625"/>
    <w:rsid w:val="00964AE8"/>
    <w:rsid w:val="00981FDD"/>
    <w:rsid w:val="00990FB5"/>
    <w:rsid w:val="00993138"/>
    <w:rsid w:val="00993CF2"/>
    <w:rsid w:val="009B3D55"/>
    <w:rsid w:val="009B6D5A"/>
    <w:rsid w:val="009B7470"/>
    <w:rsid w:val="009C0F5A"/>
    <w:rsid w:val="009C2141"/>
    <w:rsid w:val="009C4B29"/>
    <w:rsid w:val="009D3E83"/>
    <w:rsid w:val="009E0A94"/>
    <w:rsid w:val="009E5193"/>
    <w:rsid w:val="009E6568"/>
    <w:rsid w:val="009F2A63"/>
    <w:rsid w:val="009F5B57"/>
    <w:rsid w:val="009F7DEF"/>
    <w:rsid w:val="00A002AF"/>
    <w:rsid w:val="00A02167"/>
    <w:rsid w:val="00A0281B"/>
    <w:rsid w:val="00A04753"/>
    <w:rsid w:val="00A10AE1"/>
    <w:rsid w:val="00A14938"/>
    <w:rsid w:val="00A377E0"/>
    <w:rsid w:val="00A3784F"/>
    <w:rsid w:val="00A452AA"/>
    <w:rsid w:val="00A475EC"/>
    <w:rsid w:val="00A50941"/>
    <w:rsid w:val="00A53548"/>
    <w:rsid w:val="00A543A0"/>
    <w:rsid w:val="00A66F87"/>
    <w:rsid w:val="00A74880"/>
    <w:rsid w:val="00A7592A"/>
    <w:rsid w:val="00A81440"/>
    <w:rsid w:val="00A82585"/>
    <w:rsid w:val="00A91B07"/>
    <w:rsid w:val="00A96084"/>
    <w:rsid w:val="00AB193F"/>
    <w:rsid w:val="00AB5EB9"/>
    <w:rsid w:val="00AB7FCD"/>
    <w:rsid w:val="00AC20BB"/>
    <w:rsid w:val="00AC322B"/>
    <w:rsid w:val="00AC5C7E"/>
    <w:rsid w:val="00AD02F7"/>
    <w:rsid w:val="00AD4BF3"/>
    <w:rsid w:val="00AD4C7D"/>
    <w:rsid w:val="00AD62EE"/>
    <w:rsid w:val="00AE0322"/>
    <w:rsid w:val="00AE332D"/>
    <w:rsid w:val="00AF31A1"/>
    <w:rsid w:val="00B0519C"/>
    <w:rsid w:val="00B20DE5"/>
    <w:rsid w:val="00B21195"/>
    <w:rsid w:val="00B333DC"/>
    <w:rsid w:val="00B333F1"/>
    <w:rsid w:val="00B36C21"/>
    <w:rsid w:val="00B4022E"/>
    <w:rsid w:val="00B43AFF"/>
    <w:rsid w:val="00B45764"/>
    <w:rsid w:val="00B45797"/>
    <w:rsid w:val="00B4771D"/>
    <w:rsid w:val="00B566C7"/>
    <w:rsid w:val="00B5742E"/>
    <w:rsid w:val="00B6278F"/>
    <w:rsid w:val="00B72731"/>
    <w:rsid w:val="00B72810"/>
    <w:rsid w:val="00B81068"/>
    <w:rsid w:val="00B82A9B"/>
    <w:rsid w:val="00B834C9"/>
    <w:rsid w:val="00B86656"/>
    <w:rsid w:val="00BA09F2"/>
    <w:rsid w:val="00BA1413"/>
    <w:rsid w:val="00BA3047"/>
    <w:rsid w:val="00BB2055"/>
    <w:rsid w:val="00BC16A0"/>
    <w:rsid w:val="00BD2B90"/>
    <w:rsid w:val="00BE5866"/>
    <w:rsid w:val="00BF7234"/>
    <w:rsid w:val="00C075AA"/>
    <w:rsid w:val="00C10947"/>
    <w:rsid w:val="00C2389C"/>
    <w:rsid w:val="00C267DE"/>
    <w:rsid w:val="00C3210C"/>
    <w:rsid w:val="00C35212"/>
    <w:rsid w:val="00C4440A"/>
    <w:rsid w:val="00C46226"/>
    <w:rsid w:val="00C51EEF"/>
    <w:rsid w:val="00C52921"/>
    <w:rsid w:val="00C54C1B"/>
    <w:rsid w:val="00C55D3D"/>
    <w:rsid w:val="00C56A9C"/>
    <w:rsid w:val="00C70301"/>
    <w:rsid w:val="00C72646"/>
    <w:rsid w:val="00C7413B"/>
    <w:rsid w:val="00C750DF"/>
    <w:rsid w:val="00C81096"/>
    <w:rsid w:val="00C872BD"/>
    <w:rsid w:val="00C874C5"/>
    <w:rsid w:val="00C917A8"/>
    <w:rsid w:val="00C924A7"/>
    <w:rsid w:val="00CA149F"/>
    <w:rsid w:val="00CB015D"/>
    <w:rsid w:val="00CB2EAC"/>
    <w:rsid w:val="00CB4580"/>
    <w:rsid w:val="00CB5124"/>
    <w:rsid w:val="00CB61EB"/>
    <w:rsid w:val="00CB6BF8"/>
    <w:rsid w:val="00CB72D7"/>
    <w:rsid w:val="00CC6517"/>
    <w:rsid w:val="00CD08DF"/>
    <w:rsid w:val="00CD47E6"/>
    <w:rsid w:val="00CD60E1"/>
    <w:rsid w:val="00CD7E35"/>
    <w:rsid w:val="00CE518B"/>
    <w:rsid w:val="00CE6874"/>
    <w:rsid w:val="00CF1F50"/>
    <w:rsid w:val="00D00D8C"/>
    <w:rsid w:val="00D07EE9"/>
    <w:rsid w:val="00D14078"/>
    <w:rsid w:val="00D14429"/>
    <w:rsid w:val="00D21BD4"/>
    <w:rsid w:val="00D273D1"/>
    <w:rsid w:val="00D30EEE"/>
    <w:rsid w:val="00D37749"/>
    <w:rsid w:val="00D41362"/>
    <w:rsid w:val="00D45DED"/>
    <w:rsid w:val="00D46232"/>
    <w:rsid w:val="00D4642B"/>
    <w:rsid w:val="00D46FF9"/>
    <w:rsid w:val="00D506EC"/>
    <w:rsid w:val="00D51498"/>
    <w:rsid w:val="00D52BF4"/>
    <w:rsid w:val="00D6051D"/>
    <w:rsid w:val="00D74CEA"/>
    <w:rsid w:val="00D77A2D"/>
    <w:rsid w:val="00D96EA9"/>
    <w:rsid w:val="00DA1585"/>
    <w:rsid w:val="00DA3628"/>
    <w:rsid w:val="00DA7A23"/>
    <w:rsid w:val="00DB7438"/>
    <w:rsid w:val="00DC1A9C"/>
    <w:rsid w:val="00DE4470"/>
    <w:rsid w:val="00DE6CBA"/>
    <w:rsid w:val="00DF6DAC"/>
    <w:rsid w:val="00DF6E17"/>
    <w:rsid w:val="00DF75F0"/>
    <w:rsid w:val="00E00FE0"/>
    <w:rsid w:val="00E04A9B"/>
    <w:rsid w:val="00E14BA8"/>
    <w:rsid w:val="00E15F7F"/>
    <w:rsid w:val="00E17F64"/>
    <w:rsid w:val="00E226DC"/>
    <w:rsid w:val="00E3397B"/>
    <w:rsid w:val="00E42A71"/>
    <w:rsid w:val="00E4589F"/>
    <w:rsid w:val="00E619B5"/>
    <w:rsid w:val="00E620FF"/>
    <w:rsid w:val="00E66F59"/>
    <w:rsid w:val="00E84182"/>
    <w:rsid w:val="00E86DB1"/>
    <w:rsid w:val="00E87EB6"/>
    <w:rsid w:val="00E935D6"/>
    <w:rsid w:val="00E95577"/>
    <w:rsid w:val="00EB5D80"/>
    <w:rsid w:val="00EB69ED"/>
    <w:rsid w:val="00EC0F95"/>
    <w:rsid w:val="00EC1072"/>
    <w:rsid w:val="00EC1C5E"/>
    <w:rsid w:val="00ED1416"/>
    <w:rsid w:val="00ED1C4B"/>
    <w:rsid w:val="00ED5A76"/>
    <w:rsid w:val="00ED5ADF"/>
    <w:rsid w:val="00ED6CBC"/>
    <w:rsid w:val="00EE2F77"/>
    <w:rsid w:val="00EE78DA"/>
    <w:rsid w:val="00EF3186"/>
    <w:rsid w:val="00F01D15"/>
    <w:rsid w:val="00F13CE2"/>
    <w:rsid w:val="00F31146"/>
    <w:rsid w:val="00F34155"/>
    <w:rsid w:val="00F45BE2"/>
    <w:rsid w:val="00F471AF"/>
    <w:rsid w:val="00F517F0"/>
    <w:rsid w:val="00F63959"/>
    <w:rsid w:val="00F66CBA"/>
    <w:rsid w:val="00F760A5"/>
    <w:rsid w:val="00F7659A"/>
    <w:rsid w:val="00F91B7F"/>
    <w:rsid w:val="00F9362A"/>
    <w:rsid w:val="00FA48E5"/>
    <w:rsid w:val="00FA5B18"/>
    <w:rsid w:val="00FC69B9"/>
    <w:rsid w:val="00FC7DF4"/>
    <w:rsid w:val="00FD219A"/>
    <w:rsid w:val="00FD2B65"/>
    <w:rsid w:val="00FD6FE6"/>
    <w:rsid w:val="00FE3A6C"/>
    <w:rsid w:val="00FE6CB2"/>
    <w:rsid w:val="00FF0085"/>
    <w:rsid w:val="00FF1ABF"/>
    <w:rsid w:val="00FF3371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CA93"/>
  <w15:docId w15:val="{65E7C37D-C3D9-4A16-9A5B-13FB6FE7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9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63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633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33AE"/>
  </w:style>
  <w:style w:type="paragraph" w:customStyle="1" w:styleId="rvps12">
    <w:name w:val="rvps12"/>
    <w:basedOn w:val="a"/>
    <w:rsid w:val="00063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"/>
    <w:rsid w:val="00063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063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63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0E0F71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3C12B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3C12B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12B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rsid w:val="003C12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3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2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34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6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7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889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97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17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7-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EECC0-3B0E-4CA5-8EA6-2192B637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7991</Words>
  <Characters>4556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12522</CharactersWithSpaces>
  <SharedDoc>false</SharedDoc>
  <HLinks>
    <vt:vector size="18" baseType="variant"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https://zakon.rada.gov.ua/laws/show/917-19</vt:lpwstr>
      </vt:variant>
      <vt:variant>
        <vt:lpwstr/>
      </vt:variant>
      <vt:variant>
        <vt:i4>7864431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https://zakon.rada.gov.ua/laws/show/157-20</vt:lpwstr>
      </vt:variant>
      <vt:variant>
        <vt:lpwstr>n299</vt:lpwstr>
      </vt:variant>
      <vt:variant>
        <vt:i4>4522070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https://zakon.rada.gov.ua/laws/show/157-20</vt:lpwstr>
      </vt:variant>
      <vt:variant>
        <vt:lpwstr>n67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2024-09-22T16:05:00Z</cp:lastPrinted>
  <dcterms:created xsi:type="dcterms:W3CDTF">2024-10-31T14:01:00Z</dcterms:created>
  <dcterms:modified xsi:type="dcterms:W3CDTF">2024-10-31T14:01:00Z</dcterms:modified>
</cp:coreProperties>
</file>